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660" w:right="1580" w:hanging="3639"/>
        <w:spacing w:after="0" w:line="326"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ind w:left="480" w:hanging="459"/>
        <w:spacing w:after="0" w:line="209" w:lineRule="auto"/>
        <w:tabs>
          <w:tab w:leader="none" w:pos="480" w:val="left"/>
        </w:tabs>
        <w:numPr>
          <w:ilvl w:val="0"/>
          <w:numId w:val="2"/>
        </w:numPr>
        <w:rPr>
          <w:rFonts w:ascii="MS PGothic" w:cs="MS PGothic" w:eastAsia="MS PGothic" w:hAnsi="MS PGothic"/>
          <w:sz w:val="36"/>
          <w:szCs w:val="36"/>
          <w:color w:val="auto"/>
          <w:highlight w:val="black"/>
          <w:vertAlign w:val="sub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p>
      <w:pPr>
        <w:spacing w:after="0" w:line="250" w:lineRule="exact"/>
        <w:rPr>
          <w:sz w:val="24"/>
          <w:szCs w:val="24"/>
          <w:color w:val="auto"/>
        </w:rPr>
      </w:pPr>
    </w:p>
    <w:p>
      <w:pPr>
        <w:jc w:val="center"/>
        <w:ind w:left="3560"/>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2"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16"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32-0415449</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07" w:lineRule="exact"/>
        <w:rPr>
          <w:sz w:val="24"/>
          <w:szCs w:val="24"/>
          <w:color w:val="auto"/>
        </w:rPr>
      </w:pPr>
    </w:p>
    <w:p>
      <w:pPr>
        <w:sectPr>
          <w:pgSz w:w="11900" w:h="16838" w:orient="portrait"/>
          <w:cols w:equalWidth="0" w:num="2">
            <w:col w:w="7700" w:space="240"/>
            <w:col w:w="3300"/>
          </w:cols>
          <w:pgMar w:left="320" w:top="877" w:right="339" w:bottom="1440" w:gutter="0" w:footer="0" w:header="0"/>
          <w:type w:val="continuous"/>
        </w:sectPr>
      </w:pPr>
    </w:p>
    <w:tbl>
      <w:tblPr>
        <w:tblLayout w:type="fixed"/>
        <w:tblInd w:w="1760" w:type="dxa"/>
        <w:tblCellMar>
          <w:top w:w="0" w:type="dxa"/>
          <w:left w:w="0" w:type="dxa"/>
          <w:bottom w:w="0" w:type="dxa"/>
          <w:right w:w="0" w:type="dxa"/>
        </w:tblCellMar>
      </w:tblPr>
      <w:tr>
        <w:trPr>
          <w:trHeight w:val="203"/>
        </w:trPr>
        <w:tc>
          <w:tcPr>
            <w:tcW w:w="4240" w:type="dxa"/>
            <w:vAlign w:val="bottom"/>
          </w:tcPr>
          <w:p>
            <w:pPr>
              <w:jc w:val="center"/>
              <w:ind w:right="2104"/>
              <w:spacing w:after="0"/>
              <w:rPr>
                <w:sz w:val="20"/>
                <w:szCs w:val="20"/>
                <w:color w:val="auto"/>
              </w:rPr>
            </w:pPr>
            <w:r>
              <w:rPr>
                <w:rFonts w:ascii="Times New Roman" w:cs="Times New Roman" w:eastAsia="Times New Roman" w:hAnsi="Times New Roman"/>
                <w:sz w:val="16"/>
                <w:szCs w:val="16"/>
                <w:b w:val="1"/>
                <w:bCs w:val="1"/>
                <w:color w:val="auto"/>
              </w:rPr>
              <w:t>6116 Executive Blvd</w:t>
            </w:r>
          </w:p>
        </w:tc>
        <w:tc>
          <w:tcPr>
            <w:tcW w:w="2720" w:type="dxa"/>
            <w:vAlign w:val="bottom"/>
          </w:tcPr>
          <w:p>
            <w:pPr>
              <w:spacing w:after="0"/>
              <w:rPr>
                <w:sz w:val="17"/>
                <w:szCs w:val="17"/>
                <w:color w:val="auto"/>
              </w:rPr>
            </w:pPr>
          </w:p>
        </w:tc>
      </w:tr>
      <w:tr>
        <w:trPr>
          <w:trHeight w:val="203"/>
        </w:trPr>
        <w:tc>
          <w:tcPr>
            <w:tcW w:w="4240" w:type="dxa"/>
            <w:vAlign w:val="bottom"/>
          </w:tcPr>
          <w:p>
            <w:pPr>
              <w:jc w:val="center"/>
              <w:ind w:right="2104"/>
              <w:spacing w:after="0"/>
              <w:rPr>
                <w:sz w:val="20"/>
                <w:szCs w:val="20"/>
                <w:color w:val="auto"/>
              </w:rPr>
            </w:pPr>
            <w:r>
              <w:rPr>
                <w:rFonts w:ascii="Times New Roman" w:cs="Times New Roman" w:eastAsia="Times New Roman" w:hAnsi="Times New Roman"/>
                <w:sz w:val="16"/>
                <w:szCs w:val="16"/>
                <w:b w:val="1"/>
                <w:bCs w:val="1"/>
                <w:color w:val="auto"/>
                <w:w w:val="98"/>
              </w:rPr>
              <w:t>Suite 800</w:t>
            </w:r>
          </w:p>
        </w:tc>
        <w:tc>
          <w:tcPr>
            <w:tcW w:w="2720" w:type="dxa"/>
            <w:vAlign w:val="bottom"/>
          </w:tcPr>
          <w:p>
            <w:pPr>
              <w:spacing w:after="0"/>
              <w:rPr>
                <w:sz w:val="17"/>
                <w:szCs w:val="17"/>
                <w:color w:val="auto"/>
              </w:rPr>
            </w:pPr>
          </w:p>
        </w:tc>
      </w:tr>
      <w:tr>
        <w:trPr>
          <w:trHeight w:val="198"/>
        </w:trPr>
        <w:tc>
          <w:tcPr>
            <w:tcW w:w="4240" w:type="dxa"/>
            <w:vAlign w:val="bottom"/>
          </w:tcPr>
          <w:p>
            <w:pPr>
              <w:jc w:val="center"/>
              <w:ind w:right="2104"/>
              <w:spacing w:after="0"/>
              <w:rPr>
                <w:sz w:val="20"/>
                <w:szCs w:val="20"/>
                <w:color w:val="auto"/>
              </w:rPr>
            </w:pPr>
            <w:r>
              <w:rPr>
                <w:rFonts w:ascii="Times New Roman" w:cs="Times New Roman" w:eastAsia="Times New Roman" w:hAnsi="Times New Roman"/>
                <w:sz w:val="16"/>
                <w:szCs w:val="16"/>
                <w:b w:val="1"/>
                <w:bCs w:val="1"/>
                <w:color w:val="auto"/>
              </w:rPr>
              <w:t>North Bethesda, MD</w:t>
            </w:r>
          </w:p>
        </w:tc>
        <w:tc>
          <w:tcPr>
            <w:tcW w:w="2720" w:type="dxa"/>
            <w:vAlign w:val="bottom"/>
          </w:tcPr>
          <w:p>
            <w:pPr>
              <w:jc w:val="right"/>
              <w:ind w:right="28"/>
              <w:spacing w:after="0"/>
              <w:rPr>
                <w:sz w:val="20"/>
                <w:szCs w:val="20"/>
                <w:color w:val="auto"/>
              </w:rPr>
            </w:pPr>
            <w:r>
              <w:rPr>
                <w:rFonts w:ascii="Times New Roman" w:cs="Times New Roman" w:eastAsia="Times New Roman" w:hAnsi="Times New Roman"/>
                <w:sz w:val="16"/>
                <w:szCs w:val="16"/>
                <w:b w:val="1"/>
                <w:bCs w:val="1"/>
                <w:color w:val="auto"/>
              </w:rPr>
              <w:t>20852</w:t>
            </w:r>
          </w:p>
        </w:tc>
      </w:tr>
      <w:tr>
        <w:trPr>
          <w:trHeight w:val="166"/>
        </w:trPr>
        <w:tc>
          <w:tcPr>
            <w:tcW w:w="4240" w:type="dxa"/>
            <w:vAlign w:val="bottom"/>
          </w:tcPr>
          <w:p>
            <w:pPr>
              <w:jc w:val="center"/>
              <w:ind w:right="2064"/>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720" w:type="dxa"/>
            <w:vAlign w:val="bottom"/>
          </w:tcPr>
          <w:p>
            <w:pPr>
              <w:jc w:val="center"/>
              <w:ind w:left="206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34"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335-7914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Class A common stock, par value $0.000001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XMTR</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bl>
    <w:p>
      <w:pPr>
        <w:spacing w:after="0" w:line="140"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ind w:left="200" w:hanging="192"/>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13"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9" w:lineRule="exact"/>
        <w:rPr>
          <w:sz w:val="24"/>
          <w:szCs w:val="24"/>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47" w:lineRule="exact"/>
        <w:rPr>
          <w:sz w:val="24"/>
          <w:szCs w:val="24"/>
          <w:color w:val="auto"/>
        </w:rPr>
      </w:pPr>
    </w:p>
    <w:p>
      <w:pPr>
        <w:ind w:right="560"/>
        <w:spacing w:after="0" w:line="20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spacing w:after="0" w:line="184" w:lineRule="exact"/>
        <w:tabs>
          <w:tab w:leader="none" w:pos="7560" w:val="left"/>
          <w:tab w:leader="none" w:pos="81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74" w:lineRule="exact"/>
        <w:rPr>
          <w:sz w:val="24"/>
          <w:szCs w:val="24"/>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As of October 26, 2026, the registrant had 56,162,599 shares of Class A common stock, $0.000001 par value per share, and 1,475,311 shares of Class B common stock, $0.000001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1017270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4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020" w:type="dxa"/>
            <w:vAlign w:val="bottom"/>
            <w:gridSpan w:val="2"/>
            <w:vMerge w:val="continue"/>
          </w:tcPr>
          <w:p>
            <w:pPr>
              <w:spacing w:after="0"/>
              <w:rPr>
                <w:sz w:val="14"/>
                <w:szCs w:val="14"/>
                <w:color w:val="auto"/>
              </w:rPr>
            </w:pPr>
          </w:p>
        </w:tc>
        <w:tc>
          <w:tcPr>
            <w:tcW w:w="9440" w:type="dxa"/>
            <w:vAlign w:val="bottom"/>
            <w:gridSpan w:val="19"/>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Changes in Stockholders’ Equity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2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4"/>
            <w:shd w:val="clear" w:color="auto" w:fill="0000FF"/>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5100" w:type="dxa"/>
            <w:vAlign w:val="bottom"/>
            <w:tcBorders>
              <w:left w:val="single" w:sz="8" w:color="0000FF"/>
            </w:tcBorders>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vMerge w:val="continue"/>
          </w:tcPr>
          <w:p>
            <w:pPr>
              <w:spacing w:after="0"/>
              <w:rPr>
                <w:sz w:val="17"/>
                <w:szCs w:val="17"/>
                <w:color w:val="auto"/>
              </w:rPr>
            </w:pP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712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680" w:type="dxa"/>
            <w:vAlign w:val="bottom"/>
            <w:gridSpan w:val="1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120" w:type="dxa"/>
            <w:vAlign w:val="bottom"/>
            <w:gridSpan w:val="1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31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62" w:lineRule="exact"/>
        <w:rPr>
          <w:sz w:val="20"/>
          <w:szCs w:val="20"/>
          <w:color w:val="auto"/>
        </w:rPr>
      </w:pPr>
    </w:p>
    <w:p>
      <w:pPr>
        <w:ind w:left="600" w:hanging="218"/>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w:t>
      </w:r>
    </w:p>
    <w:p>
      <w:pPr>
        <w:spacing w:after="0" w:line="117" w:lineRule="exact"/>
        <w:rPr>
          <w:rFonts w:ascii="Times New Roman" w:cs="Times New Roman" w:eastAsia="Times New Roman" w:hAnsi="Times New Roman"/>
          <w:sz w:val="18"/>
          <w:szCs w:val="18"/>
          <w:color w:val="auto"/>
        </w:rPr>
      </w:pPr>
    </w:p>
    <w:p>
      <w:pPr>
        <w:ind w:left="600" w:hanging="218"/>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growth of our business, including our ability to effectively manage or sustain our growth and to achieve or sustain profitability;</w:t>
      </w:r>
    </w:p>
    <w:p>
      <w:pPr>
        <w:spacing w:after="0" w:line="117" w:lineRule="exact"/>
        <w:rPr>
          <w:rFonts w:ascii="Times New Roman" w:cs="Times New Roman" w:eastAsia="Times New Roman" w:hAnsi="Times New Roman"/>
          <w:sz w:val="18"/>
          <w:szCs w:val="18"/>
          <w:color w:val="auto"/>
        </w:rPr>
      </w:pPr>
    </w:p>
    <w:p>
      <w:pPr>
        <w:jc w:val="both"/>
        <w:ind w:left="600" w:hanging="218"/>
        <w:spacing w:after="0" w:line="266" w:lineRule="auto"/>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inflation, interest rates, recessionary factors, foreign exchange rate volatility, tariffs and other trade barriers, domestic and global geopolitical uncertainties, public health crises, supply-chain disruptions or other macroeconomic factors, which may lead to periods of global economic uncertainty;</w:t>
      </w:r>
    </w:p>
    <w:p>
      <w:pPr>
        <w:spacing w:after="0" w:line="67" w:lineRule="exact"/>
        <w:rPr>
          <w:rFonts w:ascii="Times New Roman" w:cs="Times New Roman" w:eastAsia="Times New Roman" w:hAnsi="Times New Roman"/>
          <w:sz w:val="18"/>
          <w:szCs w:val="18"/>
          <w:color w:val="auto"/>
        </w:rPr>
      </w:pPr>
    </w:p>
    <w:p>
      <w:pPr>
        <w:ind w:left="600" w:hanging="218"/>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spacing w:after="0" w:line="117" w:lineRule="exact"/>
        <w:rPr>
          <w:rFonts w:ascii="Times New Roman" w:cs="Times New Roman" w:eastAsia="Times New Roman" w:hAnsi="Times New Roman"/>
          <w:sz w:val="18"/>
          <w:szCs w:val="18"/>
          <w:color w:val="auto"/>
        </w:rPr>
      </w:pPr>
    </w:p>
    <w:p>
      <w:pPr>
        <w:ind w:left="600" w:hanging="218"/>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buyers and suppliers and successfully engage new and existing buyers and suppliers;</w:t>
      </w:r>
    </w:p>
    <w:p>
      <w:pPr>
        <w:spacing w:after="0" w:line="117" w:lineRule="exact"/>
        <w:rPr>
          <w:rFonts w:ascii="Times New Roman" w:cs="Times New Roman" w:eastAsia="Times New Roman" w:hAnsi="Times New Roman"/>
          <w:sz w:val="18"/>
          <w:szCs w:val="18"/>
          <w:color w:val="auto"/>
        </w:rPr>
      </w:pPr>
    </w:p>
    <w:p>
      <w:pPr>
        <w:ind w:left="600" w:hanging="218"/>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sales and marketing efforts, and our ability to promote our brand;</w:t>
      </w:r>
    </w:p>
    <w:p>
      <w:pPr>
        <w:spacing w:after="0" w:line="117" w:lineRule="exact"/>
        <w:rPr>
          <w:rFonts w:ascii="Times New Roman" w:cs="Times New Roman" w:eastAsia="Times New Roman" w:hAnsi="Times New Roman"/>
          <w:sz w:val="18"/>
          <w:szCs w:val="18"/>
          <w:color w:val="auto"/>
        </w:rPr>
      </w:pPr>
    </w:p>
    <w:p>
      <w:pPr>
        <w:ind w:left="600" w:hanging="218"/>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117" w:lineRule="exact"/>
        <w:rPr>
          <w:rFonts w:ascii="Times New Roman" w:cs="Times New Roman" w:eastAsia="Times New Roman" w:hAnsi="Times New Roman"/>
          <w:sz w:val="18"/>
          <w:szCs w:val="18"/>
          <w:color w:val="auto"/>
        </w:rPr>
      </w:pPr>
    </w:p>
    <w:p>
      <w:pPr>
        <w:ind w:left="600" w:hanging="218"/>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including any international expansion;</w:t>
      </w:r>
    </w:p>
    <w:p>
      <w:pPr>
        <w:spacing w:after="0" w:line="117" w:lineRule="exact"/>
        <w:rPr>
          <w:rFonts w:ascii="Times New Roman" w:cs="Times New Roman" w:eastAsia="Times New Roman" w:hAnsi="Times New Roman"/>
          <w:sz w:val="18"/>
          <w:szCs w:val="18"/>
          <w:color w:val="auto"/>
        </w:rPr>
      </w:pPr>
    </w:p>
    <w:p>
      <w:pPr>
        <w:ind w:left="600" w:hanging="218"/>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or other proprietary rights and any costs associated therewith;</w:t>
      </w:r>
    </w:p>
    <w:p>
      <w:pPr>
        <w:spacing w:after="0" w:line="117" w:lineRule="exact"/>
        <w:rPr>
          <w:rFonts w:ascii="Times New Roman" w:cs="Times New Roman" w:eastAsia="Times New Roman" w:hAnsi="Times New Roman"/>
          <w:sz w:val="18"/>
          <w:szCs w:val="18"/>
          <w:color w:val="auto"/>
        </w:rPr>
      </w:pPr>
    </w:p>
    <w:p>
      <w:pPr>
        <w:ind w:left="600" w:hanging="218"/>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costs and expenses, which may be impacted by changes in tariff policies and inflationary pressures;</w:t>
      </w:r>
    </w:p>
    <w:p>
      <w:pPr>
        <w:spacing w:after="0" w:line="117" w:lineRule="exact"/>
        <w:rPr>
          <w:rFonts w:ascii="Times New Roman" w:cs="Times New Roman" w:eastAsia="Times New Roman" w:hAnsi="Times New Roman"/>
          <w:sz w:val="18"/>
          <w:szCs w:val="18"/>
          <w:color w:val="auto"/>
        </w:rPr>
      </w:pPr>
    </w:p>
    <w:p>
      <w:pPr>
        <w:ind w:left="600" w:hanging="218"/>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 and</w:t>
      </w:r>
    </w:p>
    <w:p>
      <w:pPr>
        <w:spacing w:after="0" w:line="117" w:lineRule="exact"/>
        <w:rPr>
          <w:rFonts w:ascii="Times New Roman" w:cs="Times New Roman" w:eastAsia="Times New Roman" w:hAnsi="Times New Roman"/>
          <w:sz w:val="18"/>
          <w:szCs w:val="18"/>
          <w:color w:val="auto"/>
        </w:rPr>
      </w:pPr>
    </w:p>
    <w:p>
      <w:pPr>
        <w:ind w:left="600" w:hanging="218"/>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w:t>
      </w:r>
    </w:p>
    <w:p>
      <w:pPr>
        <w:spacing w:after="0" w:line="18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in Part II, Item 1A, and elsewhere in this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10-Q. The results, events and circumstances reflected in the forward-looking statements may not be achieved or occur, and actual results, events or circumstances could differ materially from those described in the forward-looking statements.</w:t>
      </w:r>
    </w:p>
    <w:p>
      <w:pPr>
        <w:spacing w:after="0" w:line="14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Form 10-Q.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5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forward-looking statements made in this Form 10-Q relate only to events as of the date on which the statements are made. We undertake no obligation to update any forward-looking statements made in this Form 10-Q to reflect events or circumstances after the date of this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5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18,132</w:t>
            </w:r>
          </w:p>
        </w:tc>
        <w:tc>
          <w:tcPr>
            <w:tcW w:w="10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14,996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Marketable securities</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486,850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204,145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560" w:type="dxa"/>
            <w:vAlign w:val="bottom"/>
            <w:shd w:val="clear" w:color="auto" w:fill="CFF0FC"/>
          </w:tcPr>
          <w:p>
            <w:pPr>
              <w:ind w:left="120"/>
              <w:spacing w:after="0" w:line="126" w:lineRule="exact"/>
              <w:rPr>
                <w:sz w:val="20"/>
                <w:szCs w:val="20"/>
                <w:color w:val="auto"/>
              </w:rPr>
            </w:pPr>
            <w:r>
              <w:rPr>
                <w:rFonts w:ascii="Times New Roman" w:cs="Times New Roman" w:eastAsia="Times New Roman" w:hAnsi="Times New Roman"/>
                <w:sz w:val="14"/>
                <w:szCs w:val="14"/>
                <w:color w:val="auto"/>
              </w:rPr>
              <w:t>Accounts receivable, less allowance for credit losses of $9.1 million and $8.0 million as of September 30, 2026</w:t>
            </w:r>
          </w:p>
        </w:tc>
        <w:tc>
          <w:tcPr>
            <w:tcW w:w="100" w:type="dxa"/>
            <w:vAlign w:val="bottom"/>
            <w:shd w:val="clear" w:color="auto" w:fill="CFF0FC"/>
          </w:tcPr>
          <w:p>
            <w:pPr>
              <w:spacing w:after="0"/>
              <w:rPr>
                <w:sz w:val="10"/>
                <w:szCs w:val="10"/>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152,151</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97,370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and December 31, 2025, respectively</w:t>
            </w:r>
          </w:p>
        </w:tc>
        <w:tc>
          <w:tcPr>
            <w:tcW w:w="10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5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3,767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6,216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14,441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6,954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60" w:type="dxa"/>
            <w:vAlign w:val="bottom"/>
            <w:shd w:val="clear" w:color="auto" w:fill="CFF0FC"/>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681,557</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334,644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5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Software development and property and equipment, net</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91,788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60,631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13,142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11,132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Investment in unconsolidated joint venture</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4,157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28,008</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28,563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268,051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263,801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tcBorders>
              <w:bottom w:val="single" w:sz="8" w:color="CFF0FC"/>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913</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6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1,087,616</w:t>
            </w:r>
          </w:p>
        </w:tc>
        <w:tc>
          <w:tcPr>
            <w:tcW w:w="100" w:type="dxa"/>
            <w:vAlign w:val="bottom"/>
          </w:tcPr>
          <w:p>
            <w:pPr>
              <w:spacing w:after="0"/>
              <w:rPr>
                <w:sz w:val="12"/>
                <w:szCs w:val="12"/>
                <w:color w:val="auto"/>
              </w:rPr>
            </w:pPr>
          </w:p>
        </w:tc>
        <w:tc>
          <w:tcPr>
            <w:tcW w:w="2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703,720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5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5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payable and accrued cost of revenue</w:t>
            </w: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68,870</w:t>
            </w:r>
          </w:p>
        </w:tc>
        <w:tc>
          <w:tcPr>
            <w:tcW w:w="10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44,612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accrued expenses</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41,769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31,669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Contract liabilities</w:t>
            </w: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17,667</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10,319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5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5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Convertible notes, current portion</w:t>
            </w: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84,816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5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60" w:type="dxa"/>
            <w:vAlign w:val="bottom"/>
            <w:shd w:val="clear" w:color="auto" w:fill="CFF0FC"/>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216,420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88,936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Convertible notes, net of current portion</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243,607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327,514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11,198</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9,841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5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tcBorders>
              <w:bottom w:val="single" w:sz="8" w:color="CFF0FC"/>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1,349</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547</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6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472,697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426,983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Commitments and contingencies (Note 10)</w:t>
            </w: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560" w:type="dxa"/>
            <w:vAlign w:val="bottom"/>
            <w:shd w:val="clear" w:color="auto" w:fill="CFF0FC"/>
          </w:tcPr>
          <w:p>
            <w:pPr>
              <w:ind w:left="120"/>
              <w:spacing w:after="0" w:line="126" w:lineRule="exact"/>
              <w:rPr>
                <w:sz w:val="20"/>
                <w:szCs w:val="20"/>
                <w:color w:val="auto"/>
              </w:rPr>
            </w:pPr>
            <w:r>
              <w:rPr>
                <w:rFonts w:ascii="Times New Roman" w:cs="Times New Roman" w:eastAsia="Times New Roman" w:hAnsi="Times New Roman"/>
                <w:sz w:val="14"/>
                <w:szCs w:val="14"/>
                <w:color w:val="auto"/>
              </w:rPr>
              <w:t>Preferred stock, $0.000001 par value. Authorized; 50,000,000 shares; zero shares issued and outstanding as</w:t>
            </w:r>
          </w:p>
        </w:tc>
        <w:tc>
          <w:tcPr>
            <w:tcW w:w="100" w:type="dxa"/>
            <w:vAlign w:val="bottom"/>
            <w:shd w:val="clear" w:color="auto" w:fill="CFF0FC"/>
          </w:tcPr>
          <w:p>
            <w:pPr>
              <w:spacing w:after="0"/>
              <w:rPr>
                <w:sz w:val="10"/>
                <w:szCs w:val="10"/>
                <w:color w:val="auto"/>
              </w:rPr>
            </w:pPr>
          </w:p>
        </w:tc>
        <w:tc>
          <w:tcPr>
            <w:tcW w:w="11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of September 30, 2026 and December 31, 2025</w:t>
            </w:r>
          </w:p>
        </w:tc>
        <w:tc>
          <w:tcPr>
            <w:tcW w:w="100" w:type="dxa"/>
            <w:vAlign w:val="bottom"/>
            <w:shd w:val="clear" w:color="auto" w:fill="CFF0FC"/>
          </w:tcPr>
          <w:p>
            <w:pPr>
              <w:spacing w:after="0"/>
              <w:rPr>
                <w:sz w:val="14"/>
                <w:szCs w:val="14"/>
                <w:color w:val="auto"/>
              </w:rPr>
            </w:pPr>
          </w:p>
        </w:tc>
        <w:tc>
          <w:tcPr>
            <w:tcW w:w="11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56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Class A common stock, $0.000001 par value. Authorized; 750,000,000 shares; 55,905,317 shares and</w:t>
            </w:r>
          </w:p>
        </w:tc>
        <w:tc>
          <w:tcPr>
            <w:tcW w:w="100" w:type="dxa"/>
            <w:vAlign w:val="bottom"/>
          </w:tcPr>
          <w:p>
            <w:pPr>
              <w:spacing w:after="0"/>
              <w:rPr>
                <w:sz w:val="10"/>
                <w:szCs w:val="10"/>
                <w:color w:val="auto"/>
              </w:rPr>
            </w:pP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49,842,220 shares issued and outstanding as of September 30, 2026 and December 31, 2025, respectively</w:t>
            </w: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560" w:type="dxa"/>
            <w:vAlign w:val="bottom"/>
            <w:shd w:val="clear" w:color="auto" w:fill="CFF0FC"/>
          </w:tcPr>
          <w:p>
            <w:pPr>
              <w:ind w:left="120"/>
              <w:spacing w:after="0" w:line="126" w:lineRule="exact"/>
              <w:rPr>
                <w:sz w:val="20"/>
                <w:szCs w:val="20"/>
                <w:color w:val="auto"/>
              </w:rPr>
            </w:pPr>
            <w:r>
              <w:rPr>
                <w:rFonts w:ascii="Times New Roman" w:cs="Times New Roman" w:eastAsia="Times New Roman" w:hAnsi="Times New Roman"/>
                <w:sz w:val="14"/>
                <w:szCs w:val="14"/>
                <w:color w:val="auto"/>
              </w:rPr>
              <w:t>Class B common stock, $0.000001 par value. Authorized; 5,000,000 shares; 1,475,311 shares issued and</w:t>
            </w:r>
          </w:p>
        </w:tc>
        <w:tc>
          <w:tcPr>
            <w:tcW w:w="100" w:type="dxa"/>
            <w:vAlign w:val="bottom"/>
            <w:shd w:val="clear" w:color="auto" w:fill="CFF0FC"/>
          </w:tcPr>
          <w:p>
            <w:pPr>
              <w:spacing w:after="0"/>
              <w:rPr>
                <w:sz w:val="10"/>
                <w:szCs w:val="10"/>
                <w:color w:val="auto"/>
              </w:rPr>
            </w:pPr>
          </w:p>
        </w:tc>
        <w:tc>
          <w:tcPr>
            <w:tcW w:w="11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outstanding as of September 30, 2026 and December 31, 2025</w:t>
            </w:r>
          </w:p>
        </w:tc>
        <w:tc>
          <w:tcPr>
            <w:tcW w:w="100" w:type="dxa"/>
            <w:vAlign w:val="bottom"/>
            <w:shd w:val="clear" w:color="auto" w:fill="CFF0FC"/>
          </w:tcPr>
          <w:p>
            <w:pPr>
              <w:spacing w:after="0"/>
              <w:rPr>
                <w:sz w:val="14"/>
                <w:szCs w:val="14"/>
                <w:color w:val="auto"/>
              </w:rPr>
            </w:pPr>
          </w:p>
        </w:tc>
        <w:tc>
          <w:tcPr>
            <w:tcW w:w="11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5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1,058,186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710,925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Treasury stock, at cost, 220,994 shares as of September 30, 2026 and December 31, 2025</w:t>
            </w: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(8,080)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(8,080)</w:t>
            </w:r>
          </w:p>
        </w:tc>
        <w:tc>
          <w:tcPr>
            <w:tcW w:w="0" w:type="dxa"/>
            <w:vAlign w:val="bottom"/>
          </w:tcPr>
          <w:p>
            <w:pPr>
              <w:spacing w:after="0"/>
              <w:rPr>
                <w:sz w:val="1"/>
                <w:szCs w:val="1"/>
                <w:color w:val="auto"/>
              </w:rPr>
            </w:pPr>
          </w:p>
        </w:tc>
      </w:tr>
      <w:tr>
        <w:trPr>
          <w:trHeight w:val="148"/>
        </w:trPr>
        <w:tc>
          <w:tcPr>
            <w:tcW w:w="85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5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(440,661)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(432,016)</w:t>
            </w:r>
          </w:p>
        </w:tc>
        <w:tc>
          <w:tcPr>
            <w:tcW w:w="0" w:type="dxa"/>
            <w:vAlign w:val="bottom"/>
          </w:tcPr>
          <w:p>
            <w:pPr>
              <w:spacing w:after="0"/>
              <w:rPr>
                <w:sz w:val="1"/>
                <w:szCs w:val="1"/>
                <w:color w:val="auto"/>
              </w:rPr>
            </w:pPr>
          </w:p>
        </w:tc>
      </w:tr>
      <w:tr>
        <w:trPr>
          <w:trHeight w:val="142"/>
        </w:trPr>
        <w:tc>
          <w:tcPr>
            <w:tcW w:w="856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613,776</w:t>
            </w: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275,601</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tcBorders>
              <w:bottom w:val="single" w:sz="8" w:color="CFF0FC"/>
            </w:tcBorders>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1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1,143</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1,136</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6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614,919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276,737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5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1,087,616</w:t>
            </w:r>
          </w:p>
        </w:tc>
        <w:tc>
          <w:tcPr>
            <w:tcW w:w="10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703,720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5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-3034030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-1671320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-1671320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-427990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-231140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4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8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5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w:t>
            </w:r>
          </w:p>
        </w:tc>
        <w:tc>
          <w:tcPr>
            <w:tcW w:w="280" w:type="dxa"/>
            <w:vAlign w:val="bottom"/>
            <w:tcBorders>
              <w:bottom w:val="single" w:sz="8" w:color="CFF0FC"/>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252,439</w:t>
            </w:r>
          </w:p>
        </w:tc>
        <w:tc>
          <w:tcPr>
            <w:tcW w:w="14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180,715</w:t>
            </w:r>
          </w:p>
        </w:tc>
        <w:tc>
          <w:tcPr>
            <w:tcW w:w="1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686,857</w:t>
            </w:r>
          </w:p>
        </w:tc>
        <w:tc>
          <w:tcPr>
            <w:tcW w:w="14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494,234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153,759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108,686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422,536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300,698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5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2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98,680</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72,029</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264,321</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193,536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5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2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35,571</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32,649</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101,124</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88,866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Operations and support</w:t>
            </w: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23,264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18,403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64,332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53,225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Product development</w:t>
            </w:r>
          </w:p>
        </w:tc>
        <w:tc>
          <w:tcPr>
            <w:tcW w:w="2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16,102</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12,524</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40,510</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34,703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23,686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19,463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69,063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53,433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5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Impairment of assets</w:t>
            </w:r>
          </w:p>
        </w:tc>
        <w:tc>
          <w:tcPr>
            <w:tcW w:w="28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5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98,623</w:t>
            </w: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83,088</w:t>
            </w: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275,029</w:t>
            </w: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230,276</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5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b w:val="1"/>
                <w:bCs w:val="1"/>
                <w:color w:val="auto"/>
              </w:rPr>
              <w:t>Income (loss) from operations</w:t>
            </w:r>
          </w:p>
        </w:tc>
        <w:tc>
          <w:tcPr>
            <w:tcW w:w="28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(11,059)</w:t>
            </w:r>
          </w:p>
        </w:tc>
        <w:tc>
          <w:tcPr>
            <w:tcW w:w="1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(10,708)</w:t>
            </w:r>
          </w:p>
        </w:tc>
        <w:tc>
          <w:tcPr>
            <w:tcW w:w="10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(36,740)</w:t>
            </w:r>
          </w:p>
        </w:tc>
        <w:tc>
          <w:tcPr>
            <w:tcW w:w="0" w:type="dxa"/>
            <w:vAlign w:val="bottom"/>
          </w:tcPr>
          <w:p>
            <w:pPr>
              <w:spacing w:after="0"/>
              <w:rPr>
                <w:sz w:val="1"/>
                <w:szCs w:val="1"/>
                <w:color w:val="auto"/>
              </w:rPr>
            </w:pPr>
          </w:p>
        </w:tc>
      </w:tr>
      <w:tr>
        <w:trPr>
          <w:trHeight w:val="190"/>
        </w:trPr>
        <w:tc>
          <w:tcPr>
            <w:tcW w:w="5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(expenses) income:</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28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(1,258)</w:t>
            </w: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(1,278)</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(3,774)</w:t>
            </w: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(3,648)</w:t>
            </w:r>
          </w:p>
        </w:tc>
        <w:tc>
          <w:tcPr>
            <w:tcW w:w="0" w:type="dxa"/>
            <w:vAlign w:val="bottom"/>
          </w:tcPr>
          <w:p>
            <w:pPr>
              <w:spacing w:after="0"/>
              <w:rPr>
                <w:sz w:val="1"/>
                <w:szCs w:val="1"/>
                <w:color w:val="auto"/>
              </w:rPr>
            </w:pPr>
          </w:p>
        </w:tc>
      </w:tr>
      <w:tr>
        <w:trPr>
          <w:trHeight w:val="188"/>
        </w:trPr>
        <w:tc>
          <w:tcPr>
            <w:tcW w:w="5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and dividend income</w:t>
            </w: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4,440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8,822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 expenses</w:t>
            </w:r>
          </w:p>
        </w:tc>
        <w:tc>
          <w:tcPr>
            <w:tcW w:w="28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(787)</w:t>
            </w: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(1,636)</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(2,260)</w:t>
            </w: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(19,882)</w:t>
            </w:r>
          </w:p>
        </w:tc>
        <w:tc>
          <w:tcPr>
            <w:tcW w:w="0" w:type="dxa"/>
            <w:vAlign w:val="bottom"/>
          </w:tcPr>
          <w:p>
            <w:pPr>
              <w:spacing w:after="0"/>
              <w:rPr>
                <w:sz w:val="1"/>
                <w:szCs w:val="1"/>
                <w:color w:val="auto"/>
              </w:rPr>
            </w:pPr>
          </w:p>
        </w:tc>
      </w:tr>
      <w:tr>
        <w:trPr>
          <w:trHeight w:val="175"/>
        </w:trPr>
        <w:tc>
          <w:tcPr>
            <w:tcW w:w="5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from unconsolidated joint venture</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other income (expenses)</w:t>
            </w:r>
          </w:p>
        </w:tc>
        <w:tc>
          <w:tcPr>
            <w:tcW w:w="28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2,582</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3,376</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(16,395)</w:t>
            </w:r>
          </w:p>
        </w:tc>
        <w:tc>
          <w:tcPr>
            <w:tcW w:w="0" w:type="dxa"/>
            <w:vAlign w:val="bottom"/>
          </w:tcPr>
          <w:p>
            <w:pPr>
              <w:spacing w:after="0"/>
              <w:rPr>
                <w:sz w:val="1"/>
                <w:szCs w:val="1"/>
                <w:color w:val="auto"/>
              </w:rPr>
            </w:pPr>
          </w:p>
        </w:tc>
      </w:tr>
      <w:tr>
        <w:trPr>
          <w:trHeight w:val="20"/>
        </w:trPr>
        <w:tc>
          <w:tcPr>
            <w:tcW w:w="55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2,639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(11,614)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(7,332)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(53,135)</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5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28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(704)</w:t>
            </w:r>
          </w:p>
        </w:tc>
        <w:tc>
          <w:tcPr>
            <w:tcW w:w="10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(1,306)</w:t>
            </w:r>
          </w:p>
        </w:tc>
        <w:tc>
          <w:tcPr>
            <w:tcW w:w="10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(11,597)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(8,638)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(53,110)</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(loss) attributable to noncontrolling interest</w:t>
            </w:r>
          </w:p>
        </w:tc>
        <w:tc>
          <w:tcPr>
            <w:tcW w:w="28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55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5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Net income (loss) attributable to common stockholders</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(11,597)</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(8,645)</w:t>
            </w: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(53,109)</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 per share of Class A and Class B common stock:</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tcBorders>
              <w:bottom w:val="single" w:sz="8" w:color="CFF0FC"/>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4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(0.23)</w:t>
            </w:r>
          </w:p>
        </w:tc>
        <w:tc>
          <w:tcPr>
            <w:tcW w:w="3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(0.16)</w:t>
            </w:r>
          </w:p>
        </w:tc>
        <w:tc>
          <w:tcPr>
            <w:tcW w:w="480" w:type="dxa"/>
            <w:vAlign w:val="bottom"/>
            <w:tcBorders>
              <w:bottom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88"/>
        </w:trPr>
        <w:tc>
          <w:tcPr>
            <w:tcW w:w="5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40" w:type="dxa"/>
            <w:vAlign w:val="bottom"/>
          </w:tcPr>
          <w:p>
            <w:pPr>
              <w:spacing w:after="0"/>
              <w:rPr>
                <w:sz w:val="16"/>
                <w:szCs w:val="16"/>
                <w:color w:val="auto"/>
              </w:rPr>
            </w:pPr>
          </w:p>
        </w:tc>
        <w:tc>
          <w:tcPr>
            <w:tcW w:w="480" w:type="dxa"/>
            <w:vAlign w:val="bottom"/>
            <w:gridSpan w:val="2"/>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(0.23)</w:t>
            </w: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(0.16)</w:t>
            </w:r>
          </w:p>
        </w:tc>
        <w:tc>
          <w:tcPr>
            <w:tcW w:w="4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28"/>
        </w:trPr>
        <w:tc>
          <w:tcPr>
            <w:tcW w:w="558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360" w:type="dxa"/>
            <w:vAlign w:val="bottom"/>
            <w:gridSpan w:val="2"/>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57,333,901</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50,920,588</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54,508,819</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50,653,997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60,462,719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50,920,588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54,508,819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50,653,997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1,935</w:t>
            </w:r>
          </w:p>
        </w:tc>
        <w:tc>
          <w:tcPr>
            <w:tcW w:w="140" w:type="dxa"/>
            <w:vAlign w:val="bottom"/>
          </w:tcPr>
          <w:p>
            <w:pPr>
              <w:spacing w:after="0"/>
              <w:rPr>
                <w:sz w:val="16"/>
                <w:szCs w:val="16"/>
                <w:color w:val="auto"/>
              </w:rPr>
            </w:pPr>
          </w:p>
        </w:tc>
        <w:tc>
          <w:tcPr>
            <w:tcW w:w="480" w:type="dxa"/>
            <w:vAlign w:val="bottom"/>
            <w:gridSpan w:val="2"/>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(11,597)</w:t>
            </w: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(8,638)</w:t>
            </w:r>
          </w:p>
        </w:tc>
        <w:tc>
          <w:tcPr>
            <w:tcW w:w="4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(53,110)</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360" w:type="dxa"/>
            <w:vAlign w:val="bottom"/>
            <w:gridSpan w:val="2"/>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2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40" w:type="dxa"/>
            <w:vAlign w:val="bottom"/>
          </w:tcPr>
          <w:p>
            <w:pPr>
              <w:spacing w:after="0"/>
              <w:rPr>
                <w:sz w:val="15"/>
                <w:szCs w:val="15"/>
                <w:color w:val="auto"/>
              </w:rPr>
            </w:pPr>
          </w:p>
        </w:tc>
        <w:tc>
          <w:tcPr>
            <w:tcW w:w="100" w:type="dxa"/>
            <w:vAlign w:val="bottom"/>
            <w:vMerge w:val="restart"/>
          </w:tcPr>
          <w:p>
            <w:pPr>
              <w:spacing w:after="0"/>
              <w:rPr>
                <w:sz w:val="15"/>
                <w:szCs w:val="15"/>
                <w:color w:val="auto"/>
              </w:rPr>
            </w:pPr>
          </w:p>
        </w:tc>
        <w:tc>
          <w:tcPr>
            <w:tcW w:w="3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40" w:type="dxa"/>
            <w:vAlign w:val="bottom"/>
          </w:tcPr>
          <w:p>
            <w:pPr>
              <w:spacing w:after="0"/>
              <w:rPr>
                <w:sz w:val="15"/>
                <w:szCs w:val="15"/>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(441)</w:t>
            </w:r>
          </w:p>
        </w:tc>
        <w:tc>
          <w:tcPr>
            <w:tcW w:w="4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38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gridSpan w:val="2"/>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5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28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4,766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2,054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(11,417)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(9,079)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(48,344)</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Comprehensive (loss) income attributable to noncontrolling interest</w:t>
            </w:r>
          </w:p>
        </w:tc>
        <w:tc>
          <w:tcPr>
            <w:tcW w:w="28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
        </w:trPr>
        <w:tc>
          <w:tcPr>
            <w:tcW w:w="55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comprehensive income (loss) attributable to common stockholders</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(11,424)</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(9,086)</w:t>
            </w: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(48,327)</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-4808220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-4808220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-4808220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-4808220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-3985260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-3985260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-3985260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-3985260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-2887980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-2887980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-2887980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-2613660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-2613660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-2613660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-2339340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-2339340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-2339340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-419100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-419100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-419100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-145415</wp:posOffset>
            </wp:positionV>
            <wp:extent cx="77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-145415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-145415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months ended September 30,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2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 Common</w:t>
            </w:r>
          </w:p>
        </w:tc>
        <w:tc>
          <w:tcPr>
            <w:tcW w:w="120" w:type="dxa"/>
            <w:vAlign w:val="bottom"/>
          </w:tcPr>
          <w:p>
            <w:pPr>
              <w:spacing w:after="0"/>
              <w:rPr>
                <w:sz w:val="12"/>
                <w:szCs w:val="12"/>
                <w:color w:val="auto"/>
              </w:rPr>
            </w:pPr>
          </w:p>
        </w:tc>
        <w:tc>
          <w:tcPr>
            <w:tcW w:w="134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B - Common</w:t>
            </w:r>
          </w:p>
        </w:tc>
        <w:tc>
          <w:tcPr>
            <w:tcW w:w="12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d Other</w:t>
            </w:r>
          </w:p>
        </w:tc>
        <w:tc>
          <w:tcPr>
            <w:tcW w:w="120" w:type="dxa"/>
            <w:vAlign w:val="bottom"/>
          </w:tcPr>
          <w:p>
            <w:pPr>
              <w:spacing w:after="0"/>
              <w:rPr>
                <w:sz w:val="12"/>
                <w:szCs w:val="12"/>
                <w:color w:val="auto"/>
              </w:rPr>
            </w:pP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nal</w:t>
            </w:r>
          </w:p>
        </w:tc>
        <w:tc>
          <w:tcPr>
            <w:tcW w:w="1580" w:type="dxa"/>
            <w:vAlign w:val="bottom"/>
            <w:gridSpan w:val="5"/>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1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7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Stockhold</w:t>
            </w:r>
          </w:p>
        </w:tc>
        <w:tc>
          <w:tcPr>
            <w:tcW w:w="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980" w:type="dxa"/>
            <w:vAlign w:val="bottom"/>
            <w:gridSpan w:val="3"/>
          </w:tcPr>
          <w:p>
            <w:pPr>
              <w:jc w:val="center"/>
              <w:ind w:left="209"/>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right"/>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58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sive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ed</w:t>
            </w:r>
          </w:p>
        </w:tc>
        <w:tc>
          <w:tcPr>
            <w:tcW w:w="12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ers’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ling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80" w:type="dxa"/>
            <w:vAlign w:val="bottom"/>
          </w:tcPr>
          <w:p>
            <w:pPr>
              <w:spacing w:after="0"/>
              <w:rPr>
                <w:sz w:val="15"/>
                <w:szCs w:val="15"/>
                <w:color w:val="auto"/>
              </w:rPr>
            </w:pPr>
          </w:p>
        </w:tc>
        <w:tc>
          <w:tcPr>
            <w:tcW w:w="6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June 30, 2026</w:t>
            </w:r>
          </w:p>
        </w:tc>
        <w:tc>
          <w:tcPr>
            <w:tcW w:w="6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55,562,</w:t>
            </w:r>
          </w:p>
        </w:tc>
        <w:tc>
          <w:tcPr>
            <w:tcW w:w="36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1,475,3</w:t>
            </w:r>
          </w:p>
        </w:tc>
        <w:tc>
          <w:tcPr>
            <w:tcW w:w="360" w:type="dxa"/>
            <w:vAlign w:val="bottom"/>
            <w:gridSpan w:val="2"/>
            <w:vMerge w:val="restart"/>
            <w:shd w:val="clear" w:color="auto" w:fill="CFF0FC"/>
          </w:tcPr>
          <w:p>
            <w:pPr>
              <w:jc w:val="right"/>
              <w:ind w:right="11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1,041,</w:t>
            </w: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220,994</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(8,080)</w:t>
            </w:r>
          </w:p>
        </w:tc>
        <w:tc>
          <w:tcPr>
            <w:tcW w:w="12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4,202</w:t>
            </w:r>
          </w:p>
        </w:tc>
        <w:tc>
          <w:tcPr>
            <w:tcW w:w="22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(442,596)</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595,023</w:t>
            </w:r>
          </w:p>
        </w:tc>
        <w:tc>
          <w:tcPr>
            <w:tcW w:w="80" w:type="dxa"/>
            <w:vAlign w:val="bottom"/>
            <w:shd w:val="clear" w:color="auto" w:fill="CFF0FC"/>
          </w:tcPr>
          <w:p>
            <w:pPr>
              <w:spacing w:after="0"/>
              <w:rPr>
                <w:sz w:val="10"/>
                <w:szCs w:val="10"/>
                <w:color w:val="auto"/>
              </w:rPr>
            </w:pPr>
          </w:p>
        </w:tc>
        <w:tc>
          <w:tcPr>
            <w:tcW w:w="12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80" w:type="dxa"/>
            <w:vAlign w:val="bottom"/>
            <w:shd w:val="clear" w:color="auto" w:fill="CFF0FC"/>
          </w:tcPr>
          <w:p>
            <w:pPr>
              <w:spacing w:after="0"/>
              <w:rPr>
                <w:sz w:val="10"/>
                <w:szCs w:val="10"/>
                <w:color w:val="auto"/>
              </w:rPr>
            </w:pPr>
          </w:p>
        </w:tc>
        <w:tc>
          <w:tcPr>
            <w:tcW w:w="1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596,176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80" w:type="dxa"/>
            <w:vAlign w:val="bottom"/>
            <w:vMerge w:val="continue"/>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067</w:t>
            </w:r>
          </w:p>
        </w:tc>
        <w:tc>
          <w:tcPr>
            <w:tcW w:w="360" w:type="dxa"/>
            <w:vAlign w:val="bottom"/>
            <w:gridSpan w:val="2"/>
            <w:vMerge w:val="continue"/>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60" w:type="dxa"/>
            <w:vAlign w:val="bottom"/>
            <w:gridSpan w:val="2"/>
            <w:vMerge w:val="continue"/>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220" w:type="dxa"/>
            <w:vAlign w:val="bottom"/>
            <w:gridSpan w:val="2"/>
            <w:vMerge w:val="continue"/>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00" w:type="dxa"/>
            <w:vAlign w:val="bottom"/>
            <w:gridSpan w:val="2"/>
            <w:vMerge w:val="continue"/>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120" w:type="dxa"/>
            <w:vAlign w:val="bottom"/>
            <w:gridSpan w:val="2"/>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gridSpan w:val="2"/>
            <w:vMerge w:val="continue"/>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gridSpan w:val="2"/>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gridSpan w:val="2"/>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common stock options</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37,717</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271,037</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Conversion of 2027 convertible</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14,363</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notes to common stock</w:t>
            </w: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Donated common stock</w:t>
            </w: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20,133</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1,767</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1,767</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1,767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Costs related to issuance of</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13,67</w:t>
            </w: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13,673</w:t>
            </w: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13,673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80" w:type="dxa"/>
            <w:vAlign w:val="bottom"/>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 (loss):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1,935</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1,935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comprehensive income (loss)</w:t>
            </w: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1,935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2,064</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80" w:type="dxa"/>
            <w:vAlign w:val="bottom"/>
            <w:tcBorders>
              <w:top w:val="single" w:sz="8" w:color="CFF0FC"/>
            </w:tcBorders>
          </w:tcPr>
          <w:p>
            <w:pPr>
              <w:spacing w:after="0"/>
              <w:rPr>
                <w:sz w:val="10"/>
                <w:szCs w:val="10"/>
                <w:color w:val="auto"/>
              </w:rPr>
            </w:pPr>
          </w:p>
        </w:tc>
        <w:tc>
          <w:tcPr>
            <w:tcW w:w="6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55,905,</w:t>
            </w:r>
          </w:p>
        </w:tc>
        <w:tc>
          <w:tcPr>
            <w:tcW w:w="12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6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1,475,3</w:t>
            </w:r>
          </w:p>
        </w:tc>
        <w:tc>
          <w:tcPr>
            <w:tcW w:w="12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1,058,</w:t>
            </w:r>
          </w:p>
        </w:tc>
        <w:tc>
          <w:tcPr>
            <w:tcW w:w="100" w:type="dxa"/>
            <w:vAlign w:val="bottom"/>
            <w:tcBorders>
              <w:top w:val="single" w:sz="8" w:color="CFF0F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Balance, September 30, 2026</w:t>
            </w:r>
          </w:p>
        </w:tc>
        <w:tc>
          <w:tcPr>
            <w:tcW w:w="62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317</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ind w:left="140"/>
              <w:spacing w:after="0" w:line="151"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4"/>
                <w:szCs w:val="14"/>
                <w:color w:val="auto"/>
              </w:rPr>
            </w:pPr>
          </w:p>
        </w:tc>
        <w:tc>
          <w:tcPr>
            <w:tcW w:w="64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tcPr>
          <w:p>
            <w:pPr>
              <w:ind w:left="180"/>
              <w:spacing w:after="0" w:line="151"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220,994</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(8,080)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4,331</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(440,661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613,776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1,143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614,919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June 30, 2025</w:t>
            </w: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49,107,</w:t>
            </w:r>
          </w:p>
        </w:tc>
        <w:tc>
          <w:tcPr>
            <w:tcW w:w="36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1,475,3</w:t>
            </w:r>
          </w:p>
        </w:tc>
        <w:tc>
          <w:tcPr>
            <w:tcW w:w="360" w:type="dxa"/>
            <w:vAlign w:val="bottom"/>
            <w:gridSpan w:val="2"/>
            <w:vMerge w:val="restart"/>
            <w:shd w:val="clear" w:color="auto" w:fill="CFF0FC"/>
          </w:tcPr>
          <w:p>
            <w:pPr>
              <w:jc w:val="right"/>
              <w:ind w:right="11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685,9</w:t>
            </w: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220,994</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(8,080)</w:t>
            </w:r>
          </w:p>
        </w:tc>
        <w:tc>
          <w:tcPr>
            <w:tcW w:w="12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4,281</w:t>
            </w:r>
          </w:p>
        </w:tc>
        <w:tc>
          <w:tcPr>
            <w:tcW w:w="22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(411,785)</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270,402</w:t>
            </w:r>
          </w:p>
        </w:tc>
        <w:tc>
          <w:tcPr>
            <w:tcW w:w="80" w:type="dxa"/>
            <w:vAlign w:val="bottom"/>
            <w:shd w:val="clear" w:color="auto" w:fill="CFF0FC"/>
          </w:tcPr>
          <w:p>
            <w:pPr>
              <w:spacing w:after="0"/>
              <w:rPr>
                <w:sz w:val="10"/>
                <w:szCs w:val="10"/>
                <w:color w:val="auto"/>
              </w:rPr>
            </w:pPr>
          </w:p>
        </w:tc>
        <w:tc>
          <w:tcPr>
            <w:tcW w:w="12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80" w:type="dxa"/>
            <w:vAlign w:val="bottom"/>
            <w:shd w:val="clear" w:color="auto" w:fill="CFF0FC"/>
          </w:tcPr>
          <w:p>
            <w:pPr>
              <w:spacing w:after="0"/>
              <w:rPr>
                <w:sz w:val="10"/>
                <w:szCs w:val="10"/>
                <w:color w:val="auto"/>
              </w:rPr>
            </w:pPr>
          </w:p>
        </w:tc>
        <w:tc>
          <w:tcPr>
            <w:tcW w:w="1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271,521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80" w:type="dxa"/>
            <w:vAlign w:val="bottom"/>
            <w:vMerge w:val="continue"/>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080</w:t>
            </w:r>
          </w:p>
        </w:tc>
        <w:tc>
          <w:tcPr>
            <w:tcW w:w="360" w:type="dxa"/>
            <w:vAlign w:val="bottom"/>
            <w:gridSpan w:val="2"/>
            <w:vMerge w:val="continue"/>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60" w:type="dxa"/>
            <w:vAlign w:val="bottom"/>
            <w:gridSpan w:val="2"/>
            <w:vMerge w:val="continue"/>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220" w:type="dxa"/>
            <w:vAlign w:val="bottom"/>
            <w:gridSpan w:val="2"/>
            <w:vMerge w:val="continue"/>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00" w:type="dxa"/>
            <w:vAlign w:val="bottom"/>
            <w:gridSpan w:val="2"/>
            <w:vMerge w:val="continue"/>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120" w:type="dxa"/>
            <w:vAlign w:val="bottom"/>
            <w:gridSpan w:val="2"/>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gridSpan w:val="2"/>
            <w:vMerge w:val="continue"/>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gridSpan w:val="2"/>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gridSpan w:val="2"/>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common stock options</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166,305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1,288</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263,850</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Donated common stock</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20,133</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950</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10,74</w:t>
            </w: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10,748</w:t>
            </w: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10,748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80" w:type="dxa"/>
            <w:vAlign w:val="bottom"/>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 (loss):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(11,597)</w:t>
            </w:r>
          </w:p>
        </w:tc>
        <w:tc>
          <w:tcPr>
            <w:tcW w:w="12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(11,597)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(11,597)</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comprehensive income (loss)</w:t>
            </w: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(11,597)</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(11,424)</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(11,417)</w:t>
            </w:r>
          </w:p>
        </w:tc>
        <w:tc>
          <w:tcPr>
            <w:tcW w:w="0" w:type="dxa"/>
            <w:vAlign w:val="bottom"/>
          </w:tcPr>
          <w:p>
            <w:pPr>
              <w:spacing w:after="0"/>
              <w:rPr>
                <w:sz w:val="1"/>
                <w:szCs w:val="1"/>
                <w:color w:val="auto"/>
              </w:rPr>
            </w:pPr>
          </w:p>
        </w:tc>
      </w:tr>
      <w:tr>
        <w:trPr>
          <w:trHeight w:val="119"/>
        </w:trPr>
        <w:tc>
          <w:tcPr>
            <w:tcW w:w="2080" w:type="dxa"/>
            <w:vAlign w:val="bottom"/>
            <w:tcBorders>
              <w:top w:val="single" w:sz="8" w:color="CFF0FC"/>
            </w:tcBorders>
          </w:tcPr>
          <w:p>
            <w:pPr>
              <w:spacing w:after="0"/>
              <w:rPr>
                <w:sz w:val="10"/>
                <w:szCs w:val="10"/>
                <w:color w:val="auto"/>
              </w:rPr>
            </w:pPr>
          </w:p>
        </w:tc>
        <w:tc>
          <w:tcPr>
            <w:tcW w:w="6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49,557,</w:t>
            </w:r>
          </w:p>
        </w:tc>
        <w:tc>
          <w:tcPr>
            <w:tcW w:w="12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6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1,475,3</w:t>
            </w:r>
          </w:p>
        </w:tc>
        <w:tc>
          <w:tcPr>
            <w:tcW w:w="12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698,9</w:t>
            </w:r>
          </w:p>
        </w:tc>
        <w:tc>
          <w:tcPr>
            <w:tcW w:w="100" w:type="dxa"/>
            <w:vAlign w:val="bottom"/>
            <w:tcBorders>
              <w:top w:val="single" w:sz="8" w:color="CFF0F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Balance, September 30, 2025</w:t>
            </w:r>
          </w:p>
        </w:tc>
        <w:tc>
          <w:tcPr>
            <w:tcW w:w="62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368</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ind w:left="140"/>
              <w:spacing w:after="0" w:line="151"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4"/>
                <w:szCs w:val="14"/>
                <w:color w:val="auto"/>
              </w:rPr>
            </w:pPr>
          </w:p>
        </w:tc>
        <w:tc>
          <w:tcPr>
            <w:tcW w:w="64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tcPr>
          <w:p>
            <w:pPr>
              <w:ind w:left="180"/>
              <w:spacing w:after="0" w:line="151"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220,994</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(8,080)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4,454</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(423,382</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271,964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1,126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273,090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-1585595</wp:posOffset>
            </wp:positionV>
            <wp:extent cx="768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-1585595</wp:posOffset>
            </wp:positionV>
            <wp:extent cx="77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-1585595</wp:posOffset>
            </wp:positionV>
            <wp:extent cx="768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-1585595</wp:posOffset>
            </wp:positionV>
            <wp:extent cx="768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-1585595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-1585595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-1585595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-1585595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-1585595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-1585595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-1585595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-1585595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-222250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-222250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-222250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-222250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-222250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-222250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-222250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-222250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-222250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-222250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-222250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Nine months ended September 30,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4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Class A - Common</w:t>
            </w:r>
          </w:p>
        </w:tc>
        <w:tc>
          <w:tcPr>
            <w:tcW w:w="120" w:type="dxa"/>
            <w:vAlign w:val="bottom"/>
          </w:tcPr>
          <w:p>
            <w:pPr>
              <w:spacing w:after="0"/>
              <w:rPr>
                <w:sz w:val="12"/>
                <w:szCs w:val="12"/>
                <w:color w:val="auto"/>
              </w:rPr>
            </w:pPr>
          </w:p>
        </w:tc>
        <w:tc>
          <w:tcPr>
            <w:tcW w:w="14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Class B - Common</w:t>
            </w:r>
          </w:p>
        </w:tc>
        <w:tc>
          <w:tcPr>
            <w:tcW w:w="12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 Other</w:t>
            </w: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w:t>
            </w: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Noncontroll</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nal</w:t>
            </w:r>
          </w:p>
        </w:tc>
        <w:tc>
          <w:tcPr>
            <w:tcW w:w="1280" w:type="dxa"/>
            <w:vAlign w:val="bottom"/>
            <w:gridSpan w:val="5"/>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780" w:type="dxa"/>
            <w:vAlign w:val="bottom"/>
            <w:gridSpan w:val="3"/>
            <w:vMerge w:val="continue"/>
          </w:tcPr>
          <w:p>
            <w:pPr>
              <w:spacing w:after="0"/>
              <w:rPr>
                <w:sz w:val="12"/>
                <w:szCs w:val="12"/>
                <w:color w:val="auto"/>
              </w:rPr>
            </w:pPr>
          </w:p>
        </w:tc>
        <w:tc>
          <w:tcPr>
            <w:tcW w:w="8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Stockhold</w:t>
            </w:r>
          </w:p>
        </w:tc>
        <w:tc>
          <w:tcPr>
            <w:tcW w:w="8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0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4"/>
          </w:tcPr>
          <w:p>
            <w:pPr>
              <w:ind w:left="5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6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sive</w:t>
            </w:r>
          </w:p>
        </w:tc>
        <w:tc>
          <w:tcPr>
            <w:tcW w:w="100" w:type="dxa"/>
            <w:vAlign w:val="bottom"/>
          </w:tcPr>
          <w:p>
            <w:pPr>
              <w:spacing w:after="0"/>
              <w:rPr>
                <w:sz w:val="12"/>
                <w:szCs w:val="12"/>
                <w:color w:val="auto"/>
              </w:rPr>
            </w:pPr>
          </w:p>
        </w:tc>
        <w:tc>
          <w:tcPr>
            <w:tcW w:w="680" w:type="dxa"/>
            <w:vAlign w:val="bottom"/>
            <w:gridSpan w:val="2"/>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ted</w:t>
            </w:r>
          </w:p>
        </w:tc>
        <w:tc>
          <w:tcPr>
            <w:tcW w:w="10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ers’</w:t>
            </w:r>
          </w:p>
        </w:tc>
        <w:tc>
          <w:tcPr>
            <w:tcW w:w="100" w:type="dxa"/>
            <w:vAlign w:val="bottom"/>
          </w:tcPr>
          <w:p>
            <w:pPr>
              <w:spacing w:after="0"/>
              <w:rPr>
                <w:sz w:val="12"/>
                <w:szCs w:val="12"/>
                <w:color w:val="auto"/>
              </w:rPr>
            </w:pPr>
          </w:p>
        </w:tc>
        <w:tc>
          <w:tcPr>
            <w:tcW w:w="7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ing</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vMerge w:val="restart"/>
          </w:tcPr>
          <w:p>
            <w:pPr>
              <w:spacing w:after="0"/>
              <w:rPr>
                <w:sz w:val="12"/>
                <w:szCs w:val="12"/>
                <w:color w:val="auto"/>
              </w:rPr>
            </w:pPr>
          </w:p>
        </w:tc>
        <w:tc>
          <w:tcPr>
            <w:tcW w:w="5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6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Amoun</w:t>
            </w: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2"/>
                <w:szCs w:val="12"/>
                <w:color w:val="auto"/>
              </w:rPr>
            </w:pPr>
          </w:p>
        </w:tc>
        <w:tc>
          <w:tcPr>
            <w:tcW w:w="5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4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December 31, 2025</w:t>
            </w:r>
          </w:p>
        </w:tc>
        <w:tc>
          <w:tcPr>
            <w:tcW w:w="6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49,842,2</w:t>
            </w:r>
          </w:p>
        </w:tc>
        <w:tc>
          <w:tcPr>
            <w:tcW w:w="12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1,475,31</w:t>
            </w:r>
          </w:p>
        </w:tc>
        <w:tc>
          <w:tcPr>
            <w:tcW w:w="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710,92</w:t>
            </w: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220,99</w:t>
            </w:r>
          </w:p>
        </w:tc>
        <w:tc>
          <w:tcPr>
            <w:tcW w:w="200" w:type="dxa"/>
            <w:vAlign w:val="bottom"/>
            <w:gridSpan w:val="2"/>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(8,080)</w:t>
            </w: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4,772</w:t>
            </w:r>
          </w:p>
        </w:tc>
        <w:tc>
          <w:tcPr>
            <w:tcW w:w="10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(432,016)</w:t>
            </w:r>
          </w:p>
        </w:tc>
        <w:tc>
          <w:tcPr>
            <w:tcW w:w="1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275,601</w:t>
            </w:r>
          </w:p>
        </w:tc>
        <w:tc>
          <w:tcPr>
            <w:tcW w:w="12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12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276,737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40" w:type="dxa"/>
            <w:vAlign w:val="bottom"/>
            <w:vMerge w:val="continue"/>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gridSpan w:val="2"/>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00" w:type="dxa"/>
            <w:vAlign w:val="bottom"/>
            <w:gridSpan w:val="2"/>
            <w:vMerge w:val="continue"/>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gridSpan w:val="2"/>
            <w:vMerge w:val="continue"/>
            <w:shd w:val="clear" w:color="auto" w:fill="CFF0FC"/>
          </w:tcPr>
          <w:p>
            <w:pPr>
              <w:spacing w:after="0"/>
              <w:rPr>
                <w:sz w:val="14"/>
                <w:szCs w:val="14"/>
                <w:color w:val="auto"/>
              </w:rPr>
            </w:pPr>
          </w:p>
        </w:tc>
        <w:tc>
          <w:tcPr>
            <w:tcW w:w="52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common stock options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550,659</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6,349</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6,349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6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1,343,80</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34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40" w:type="dxa"/>
            <w:vAlign w:val="bottom"/>
            <w:vMerge w:val="continue"/>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gridSpan w:val="2"/>
            <w:vMerge w:val="continue"/>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Conversion of 2027 convertible</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14,363</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notes to common stock</w:t>
            </w: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Donated common stock</w:t>
            </w: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60,399</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4,404</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4,404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4,404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6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1,049,75</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Siemens agreement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net of</w:t>
            </w:r>
          </w:p>
        </w:tc>
        <w:tc>
          <w:tcPr>
            <w:tcW w:w="6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3,044,11</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34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248,40</w:t>
            </w:r>
          </w:p>
        </w:tc>
        <w:tc>
          <w:tcPr>
            <w:tcW w:w="12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248,400</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248,400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underwriters’ discount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2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Costs related to issuance of common</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0"/>
                <w:szCs w:val="10"/>
                <w:color w:val="auto"/>
              </w:rPr>
            </w:pP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(776)</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(776)</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(776)</w:t>
            </w:r>
          </w:p>
        </w:tc>
        <w:tc>
          <w:tcPr>
            <w:tcW w:w="0" w:type="dxa"/>
            <w:vAlign w:val="bottom"/>
          </w:tcPr>
          <w:p>
            <w:pPr>
              <w:spacing w:after="0"/>
              <w:rPr>
                <w:sz w:val="1"/>
                <w:szCs w:val="1"/>
                <w:color w:val="auto"/>
              </w:rPr>
            </w:pPr>
          </w:p>
        </w:tc>
      </w:tr>
      <w:tr>
        <w:trPr>
          <w:trHeight w:val="171"/>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stock</w:t>
            </w:r>
          </w:p>
        </w:tc>
        <w:tc>
          <w:tcPr>
            <w:tcW w:w="7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38,079</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38,079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38,079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Comprehensive (loss) income:</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(441)</w:t>
            </w: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(441)</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(441)</w:t>
            </w:r>
          </w:p>
        </w:tc>
        <w:tc>
          <w:tcPr>
            <w:tcW w:w="0" w:type="dxa"/>
            <w:vAlign w:val="bottom"/>
          </w:tcPr>
          <w:p>
            <w:pPr>
              <w:spacing w:after="0"/>
              <w:rPr>
                <w:sz w:val="1"/>
                <w:szCs w:val="1"/>
                <w:color w:val="auto"/>
              </w:rPr>
            </w:pPr>
          </w:p>
        </w:tc>
      </w:tr>
      <w:tr>
        <w:trPr>
          <w:trHeight w:val="148"/>
        </w:trPr>
        <w:tc>
          <w:tcPr>
            <w:tcW w:w="21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(8,645)</w:t>
            </w:r>
          </w:p>
        </w:tc>
        <w:tc>
          <w:tcPr>
            <w:tcW w:w="10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(8,645)</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(8,638)</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comprehensive (loss) income</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ind w:left="42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(441)</w:t>
            </w: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(8,645)</w:t>
            </w: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(9,086)</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(9,079)</w:t>
            </w:r>
          </w:p>
        </w:tc>
        <w:tc>
          <w:tcPr>
            <w:tcW w:w="0" w:type="dxa"/>
            <w:vAlign w:val="bottom"/>
          </w:tcPr>
          <w:p>
            <w:pPr>
              <w:spacing w:after="0"/>
              <w:rPr>
                <w:sz w:val="1"/>
                <w:szCs w:val="1"/>
                <w:color w:val="auto"/>
              </w:rPr>
            </w:pPr>
          </w:p>
        </w:tc>
      </w:tr>
      <w:tr>
        <w:trPr>
          <w:trHeight w:val="119"/>
        </w:trPr>
        <w:tc>
          <w:tcPr>
            <w:tcW w:w="2140" w:type="dxa"/>
            <w:vAlign w:val="bottom"/>
            <w:tcBorders>
              <w:top w:val="single" w:sz="8" w:color="CFF0FC"/>
            </w:tcBorders>
          </w:tcPr>
          <w:p>
            <w:pPr>
              <w:spacing w:after="0"/>
              <w:rPr>
                <w:sz w:val="10"/>
                <w:szCs w:val="10"/>
                <w:color w:val="auto"/>
              </w:rPr>
            </w:pPr>
          </w:p>
        </w:tc>
        <w:tc>
          <w:tcPr>
            <w:tcW w:w="6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55,905,3</w:t>
            </w:r>
          </w:p>
        </w:tc>
        <w:tc>
          <w:tcPr>
            <w:tcW w:w="120" w:type="dxa"/>
            <w:vAlign w:val="bottom"/>
            <w:tcBorders>
              <w:top w:val="single" w:sz="8" w:color="CFF0FC"/>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6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1,475,31</w:t>
            </w:r>
          </w:p>
        </w:tc>
        <w:tc>
          <w:tcPr>
            <w:tcW w:w="1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1,058,1</w:t>
            </w:r>
          </w:p>
        </w:tc>
        <w:tc>
          <w:tcPr>
            <w:tcW w:w="120" w:type="dxa"/>
            <w:vAlign w:val="bottom"/>
            <w:tcBorders>
              <w:top w:val="single" w:sz="8" w:color="CFF0FC"/>
            </w:tcBorders>
          </w:tcPr>
          <w:p>
            <w:pPr>
              <w:spacing w:after="0"/>
              <w:rPr>
                <w:sz w:val="10"/>
                <w:szCs w:val="10"/>
                <w:color w:val="auto"/>
              </w:rPr>
            </w:pPr>
          </w:p>
        </w:tc>
        <w:tc>
          <w:tcPr>
            <w:tcW w:w="5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220,99</w:t>
            </w: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Balance, September 30, 2026</w:t>
            </w:r>
          </w:p>
        </w:tc>
        <w:tc>
          <w:tcPr>
            <w:tcW w:w="64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tcPr>
          <w:p>
            <w:pPr>
              <w:ind w:left="180"/>
              <w:spacing w:after="0" w:line="151"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ind w:left="420"/>
              <w:spacing w:after="0" w:line="151"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86</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(8,080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4,331</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(440,661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bottom w:val="single" w:sz="8" w:color="auto"/>
            </w:tcBorders>
          </w:tcPr>
          <w:p>
            <w:pPr>
              <w:ind w:left="2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613,776</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1,143</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614,919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December 31, 2024</w:t>
            </w:r>
          </w:p>
        </w:tc>
        <w:tc>
          <w:tcPr>
            <w:tcW w:w="6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48,289,2</w:t>
            </w:r>
          </w:p>
        </w:tc>
        <w:tc>
          <w:tcPr>
            <w:tcW w:w="12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1,475,31</w:t>
            </w:r>
          </w:p>
        </w:tc>
        <w:tc>
          <w:tcPr>
            <w:tcW w:w="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685,05</w:t>
            </w:r>
          </w:p>
        </w:tc>
        <w:tc>
          <w:tcPr>
            <w:tcW w:w="12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(370,273)</w:t>
            </w:r>
          </w:p>
        </w:tc>
        <w:tc>
          <w:tcPr>
            <w:tcW w:w="1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314,453</w:t>
            </w:r>
          </w:p>
        </w:tc>
        <w:tc>
          <w:tcPr>
            <w:tcW w:w="12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1,143</w:t>
            </w:r>
          </w:p>
        </w:tc>
        <w:tc>
          <w:tcPr>
            <w:tcW w:w="12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315,596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40" w:type="dxa"/>
            <w:vAlign w:val="bottom"/>
            <w:vMerge w:val="continue"/>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gridSpan w:val="2"/>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00" w:type="dxa"/>
            <w:vAlign w:val="bottom"/>
            <w:gridSpan w:val="2"/>
            <w:vMerge w:val="continue"/>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200" w:type="dxa"/>
            <w:vAlign w:val="bottom"/>
            <w:gridSpan w:val="2"/>
            <w:vMerge w:val="continue"/>
            <w:shd w:val="clear" w:color="auto" w:fill="CFF0FC"/>
          </w:tcPr>
          <w:p>
            <w:pPr>
              <w:spacing w:after="0"/>
              <w:rPr>
                <w:sz w:val="14"/>
                <w:szCs w:val="14"/>
                <w:color w:val="auto"/>
              </w:rPr>
            </w:pPr>
          </w:p>
        </w:tc>
        <w:tc>
          <w:tcPr>
            <w:tcW w:w="52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common stock options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311,699</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2,703</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6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1,100,27</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34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40" w:type="dxa"/>
            <w:vAlign w:val="bottom"/>
            <w:vMerge w:val="continue"/>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gridSpan w:val="2"/>
            <w:vMerge w:val="continue"/>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issued in business</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16,716</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combination</w:t>
            </w: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Donated common stock</w:t>
            </w: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60,399</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2,080</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2,080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2,080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Purchase of capped calls</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0"/>
                <w:szCs w:val="10"/>
                <w:color w:val="auto"/>
              </w:rPr>
            </w:pP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(17,47</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(17,475)</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(17,475)</w:t>
            </w:r>
          </w:p>
        </w:tc>
        <w:tc>
          <w:tcPr>
            <w:tcW w:w="0" w:type="dxa"/>
            <w:vAlign w:val="bottom"/>
          </w:tcPr>
          <w:p>
            <w:pPr>
              <w:spacing w:after="0"/>
              <w:rPr>
                <w:sz w:val="1"/>
                <w:szCs w:val="1"/>
                <w:color w:val="auto"/>
              </w:rPr>
            </w:pPr>
          </w:p>
        </w:tc>
      </w:tr>
      <w:tr>
        <w:trPr>
          <w:trHeight w:val="171"/>
        </w:trPr>
        <w:tc>
          <w:tcPr>
            <w:tcW w:w="214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7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(220,994)</w:t>
            </w:r>
          </w:p>
        </w:tc>
        <w:tc>
          <w:tcPr>
            <w:tcW w:w="300" w:type="dxa"/>
            <w:vAlign w:val="bottom"/>
            <w:shd w:val="clear" w:color="auto" w:fill="CFF0FC"/>
          </w:tcPr>
          <w:p>
            <w:pPr>
              <w:spacing w:after="0"/>
              <w:rPr>
                <w:sz w:val="10"/>
                <w:szCs w:val="10"/>
                <w:color w:val="auto"/>
              </w:rPr>
            </w:pPr>
          </w:p>
        </w:tc>
        <w:tc>
          <w:tcPr>
            <w:tcW w:w="34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220,99</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(8,080)</w:t>
            </w:r>
          </w:p>
        </w:tc>
        <w:tc>
          <w:tcPr>
            <w:tcW w:w="10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(8,080)</w:t>
            </w:r>
          </w:p>
        </w:tc>
        <w:tc>
          <w:tcPr>
            <w:tcW w:w="10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(8,080)</w:t>
            </w:r>
          </w:p>
        </w:tc>
        <w:tc>
          <w:tcPr>
            <w:tcW w:w="0" w:type="dxa"/>
            <w:vAlign w:val="bottom"/>
          </w:tcPr>
          <w:p>
            <w:pPr>
              <w:spacing w:after="0"/>
              <w:rPr>
                <w:sz w:val="1"/>
                <w:szCs w:val="1"/>
                <w:color w:val="auto"/>
              </w:rPr>
            </w:pPr>
          </w:p>
        </w:tc>
      </w:tr>
      <w:tr>
        <w:trPr>
          <w:trHeight w:val="171"/>
        </w:trPr>
        <w:tc>
          <w:tcPr>
            <w:tcW w:w="2140" w:type="dxa"/>
            <w:vAlign w:val="bottom"/>
            <w:vMerge w:val="continue"/>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gridSpan w:val="2"/>
            <w:vMerge w:val="continue"/>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25,985</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25,985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 (loss):</w:t>
            </w: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4,782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4,782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(53,109)</w:t>
            </w: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(53,109)</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(53,110)</w:t>
            </w:r>
          </w:p>
        </w:tc>
        <w:tc>
          <w:tcPr>
            <w:tcW w:w="0" w:type="dxa"/>
            <w:vAlign w:val="bottom"/>
          </w:tcPr>
          <w:p>
            <w:pPr>
              <w:spacing w:after="0"/>
              <w:rPr>
                <w:sz w:val="1"/>
                <w:szCs w:val="1"/>
                <w:color w:val="auto"/>
              </w:rPr>
            </w:pPr>
          </w:p>
        </w:tc>
      </w:tr>
      <w:tr>
        <w:trPr>
          <w:trHeight w:val="20"/>
        </w:trPr>
        <w:tc>
          <w:tcPr>
            <w:tcW w:w="214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comprehensive income (loss)</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42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4,782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(53,109)</w:t>
            </w:r>
          </w:p>
        </w:tc>
        <w:tc>
          <w:tcPr>
            <w:tcW w:w="100" w:type="dxa"/>
            <w:vAlign w:val="bottom"/>
          </w:tcPr>
          <w:p>
            <w:pPr>
              <w:spacing w:after="0"/>
              <w:rPr>
                <w:sz w:val="12"/>
                <w:szCs w:val="12"/>
                <w:color w:val="auto"/>
              </w:rPr>
            </w:pPr>
          </w:p>
        </w:tc>
        <w:tc>
          <w:tcPr>
            <w:tcW w:w="7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(48,327)</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(48,344)</w:t>
            </w:r>
          </w:p>
        </w:tc>
        <w:tc>
          <w:tcPr>
            <w:tcW w:w="0" w:type="dxa"/>
            <w:vAlign w:val="bottom"/>
          </w:tcPr>
          <w:p>
            <w:pPr>
              <w:spacing w:after="0"/>
              <w:rPr>
                <w:sz w:val="1"/>
                <w:szCs w:val="1"/>
                <w:color w:val="auto"/>
              </w:rPr>
            </w:pPr>
          </w:p>
        </w:tc>
      </w:tr>
      <w:tr>
        <w:trPr>
          <w:trHeight w:val="119"/>
        </w:trPr>
        <w:tc>
          <w:tcPr>
            <w:tcW w:w="2140" w:type="dxa"/>
            <w:vAlign w:val="bottom"/>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49,557,3</w:t>
            </w:r>
          </w:p>
        </w:tc>
        <w:tc>
          <w:tcPr>
            <w:tcW w:w="120" w:type="dxa"/>
            <w:vAlign w:val="bottom"/>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1,475,31</w:t>
            </w:r>
          </w:p>
        </w:tc>
        <w:tc>
          <w:tcPr>
            <w:tcW w:w="1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698,97</w:t>
            </w:r>
          </w:p>
        </w:tc>
        <w:tc>
          <w:tcPr>
            <w:tcW w:w="120" w:type="dxa"/>
            <w:vAlign w:val="bottom"/>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220,99</w:t>
            </w: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2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September 30, 2025</w:t>
            </w:r>
          </w:p>
        </w:tc>
        <w:tc>
          <w:tcPr>
            <w:tcW w:w="64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68</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shd w:val="clear" w:color="auto" w:fill="CFF0FC"/>
          </w:tcPr>
          <w:p>
            <w:pPr>
              <w:ind w:left="180"/>
              <w:spacing w:after="0" w:line="151"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FF0FC"/>
          </w:tcPr>
          <w:p>
            <w:pPr>
              <w:ind w:left="420"/>
              <w:spacing w:after="0" w:line="151"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(8,080</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bottom w:val="single" w:sz="8" w:color="auto"/>
            </w:tcBorders>
            <w:shd w:val="clear" w:color="auto" w:fill="CFF0FC"/>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4,454</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(423,382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bottom w:val="single" w:sz="8" w:color="auto"/>
            </w:tcBorders>
            <w:shd w:val="clear" w:color="auto" w:fill="CFF0FC"/>
          </w:tcPr>
          <w:p>
            <w:pPr>
              <w:ind w:left="2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271,964</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1,126</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273,090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-2150745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-2150745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-2150745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-2150745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-2150745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-2150745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-2150745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-2150745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-2150745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-2150745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-2150745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-325120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-325120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-325120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-325120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-24765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-24765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-24765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-24765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-24765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-24765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-24765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-24765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7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3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3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5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480" w:type="dxa"/>
            <w:vAlign w:val="bottom"/>
            <w:gridSpan w:val="2"/>
          </w:tcPr>
          <w:p>
            <w:pPr>
              <w:jc w:val="right"/>
              <w:ind w:right="7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(8,638)</w:t>
            </w:r>
          </w:p>
        </w:tc>
        <w:tc>
          <w:tcPr>
            <w:tcW w:w="140" w:type="dxa"/>
            <w:vAlign w:val="bottom"/>
          </w:tcPr>
          <w:p>
            <w:pPr>
              <w:spacing w:after="0"/>
              <w:rPr>
                <w:sz w:val="12"/>
                <w:szCs w:val="12"/>
                <w:color w:val="auto"/>
              </w:rPr>
            </w:pPr>
          </w:p>
        </w:tc>
        <w:tc>
          <w:tcPr>
            <w:tcW w:w="940" w:type="dxa"/>
            <w:vAlign w:val="bottom"/>
          </w:tcPr>
          <w:p>
            <w:pPr>
              <w:jc w:val="right"/>
              <w:ind w:right="7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(53,110)</w:t>
            </w:r>
          </w:p>
        </w:tc>
      </w:tr>
      <w:tr>
        <w:trPr>
          <w:trHeight w:val="148"/>
        </w:trPr>
        <w:tc>
          <w:tcPr>
            <w:tcW w:w="6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5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6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16,952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13,741</w:t>
            </w:r>
          </w:p>
        </w:tc>
        <w:tc>
          <w:tcPr>
            <w:tcW w:w="100" w:type="dxa"/>
            <w:vAlign w:val="bottom"/>
          </w:tcPr>
          <w:p>
            <w:pPr>
              <w:spacing w:after="0"/>
              <w:rPr>
                <w:sz w:val="12"/>
                <w:szCs w:val="12"/>
                <w:color w:val="auto"/>
              </w:rPr>
            </w:pPr>
          </w:p>
        </w:tc>
      </w:tr>
      <w:tr>
        <w:trPr>
          <w:trHeight w:val="148"/>
        </w:trPr>
        <w:tc>
          <w:tcPr>
            <w:tcW w:w="63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Impairment of assets</w:t>
            </w:r>
          </w:p>
        </w:tc>
        <w:tc>
          <w:tcPr>
            <w:tcW w:w="15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820" w:type="dxa"/>
            <w:vAlign w:val="bottom"/>
            <w:gridSpan w:val="3"/>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FF0FC"/>
          </w:tcPr>
          <w:p>
            <w:pPr>
              <w:spacing w:after="0"/>
              <w:rPr>
                <w:sz w:val="12"/>
                <w:szCs w:val="12"/>
                <w:color w:val="auto"/>
              </w:rPr>
            </w:pPr>
          </w:p>
        </w:tc>
      </w:tr>
      <w:tr>
        <w:trPr>
          <w:trHeight w:val="148"/>
        </w:trPr>
        <w:tc>
          <w:tcPr>
            <w:tcW w:w="6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Reduction in carrying amount of right-of-use asset</w:t>
            </w: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3,350</w:t>
            </w:r>
          </w:p>
        </w:tc>
        <w:tc>
          <w:tcPr>
            <w:tcW w:w="100" w:type="dxa"/>
            <w:vAlign w:val="bottom"/>
          </w:tcPr>
          <w:p>
            <w:pPr>
              <w:spacing w:after="0"/>
              <w:rPr>
                <w:sz w:val="12"/>
                <w:szCs w:val="12"/>
                <w:color w:val="auto"/>
              </w:rPr>
            </w:pPr>
          </w:p>
        </w:tc>
      </w:tr>
      <w:tr>
        <w:trPr>
          <w:trHeight w:val="148"/>
        </w:trPr>
        <w:tc>
          <w:tcPr>
            <w:tcW w:w="63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Lease termination</w:t>
            </w:r>
          </w:p>
        </w:tc>
        <w:tc>
          <w:tcPr>
            <w:tcW w:w="15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820" w:type="dxa"/>
            <w:vAlign w:val="bottom"/>
            <w:gridSpan w:val="3"/>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w:t>
            </w:r>
          </w:p>
        </w:tc>
      </w:tr>
      <w:tr>
        <w:trPr>
          <w:trHeight w:val="148"/>
        </w:trPr>
        <w:tc>
          <w:tcPr>
            <w:tcW w:w="6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30,961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25,985</w:t>
            </w:r>
          </w:p>
        </w:tc>
        <w:tc>
          <w:tcPr>
            <w:tcW w:w="100" w:type="dxa"/>
            <w:vAlign w:val="bottom"/>
          </w:tcPr>
          <w:p>
            <w:pPr>
              <w:spacing w:after="0"/>
              <w:rPr>
                <w:sz w:val="12"/>
                <w:szCs w:val="12"/>
                <w:color w:val="auto"/>
              </w:rPr>
            </w:pPr>
          </w:p>
        </w:tc>
      </w:tr>
      <w:tr>
        <w:trPr>
          <w:trHeight w:val="149"/>
        </w:trPr>
        <w:tc>
          <w:tcPr>
            <w:tcW w:w="63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Income from unconsolidated joint venture</w:t>
            </w:r>
          </w:p>
        </w:tc>
        <w:tc>
          <w:tcPr>
            <w:tcW w:w="15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(144)</w:t>
            </w:r>
          </w:p>
        </w:tc>
      </w:tr>
      <w:tr>
        <w:trPr>
          <w:trHeight w:val="148"/>
        </w:trPr>
        <w:tc>
          <w:tcPr>
            <w:tcW w:w="6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Donation of common stock</w:t>
            </w: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4,404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2,080</w:t>
            </w:r>
          </w:p>
        </w:tc>
        <w:tc>
          <w:tcPr>
            <w:tcW w:w="100" w:type="dxa"/>
            <w:vAlign w:val="bottom"/>
          </w:tcPr>
          <w:p>
            <w:pPr>
              <w:spacing w:after="0"/>
              <w:rPr>
                <w:sz w:val="12"/>
                <w:szCs w:val="12"/>
                <w:color w:val="auto"/>
              </w:rPr>
            </w:pPr>
          </w:p>
        </w:tc>
      </w:tr>
      <w:tr>
        <w:trPr>
          <w:trHeight w:val="148"/>
        </w:trPr>
        <w:tc>
          <w:tcPr>
            <w:tcW w:w="63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Loss on debt extinguishment</w:t>
            </w:r>
          </w:p>
        </w:tc>
        <w:tc>
          <w:tcPr>
            <w:tcW w:w="15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820" w:type="dxa"/>
            <w:vAlign w:val="bottom"/>
            <w:gridSpan w:val="3"/>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16,430</w:t>
            </w:r>
          </w:p>
        </w:tc>
        <w:tc>
          <w:tcPr>
            <w:tcW w:w="100" w:type="dxa"/>
            <w:vAlign w:val="bottom"/>
            <w:shd w:val="clear" w:color="auto" w:fill="CFF0FC"/>
          </w:tcPr>
          <w:p>
            <w:pPr>
              <w:spacing w:after="0"/>
              <w:rPr>
                <w:sz w:val="12"/>
                <w:szCs w:val="12"/>
                <w:color w:val="auto"/>
              </w:rPr>
            </w:pPr>
          </w:p>
        </w:tc>
      </w:tr>
      <w:tr>
        <w:trPr>
          <w:trHeight w:val="148"/>
        </w:trPr>
        <w:tc>
          <w:tcPr>
            <w:tcW w:w="6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deferred costs on convertible notes</w:t>
            </w: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1,527</w:t>
            </w:r>
          </w:p>
        </w:tc>
        <w:tc>
          <w:tcPr>
            <w:tcW w:w="100" w:type="dxa"/>
            <w:vAlign w:val="bottom"/>
          </w:tcPr>
          <w:p>
            <w:pPr>
              <w:spacing w:after="0"/>
              <w:rPr>
                <w:sz w:val="12"/>
                <w:szCs w:val="12"/>
                <w:color w:val="auto"/>
              </w:rPr>
            </w:pPr>
          </w:p>
        </w:tc>
      </w:tr>
      <w:tr>
        <w:trPr>
          <w:trHeight w:val="148"/>
        </w:trPr>
        <w:tc>
          <w:tcPr>
            <w:tcW w:w="63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tax benefit</w:t>
            </w:r>
          </w:p>
        </w:tc>
        <w:tc>
          <w:tcPr>
            <w:tcW w:w="15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w:t>
            </w:r>
          </w:p>
        </w:tc>
      </w:tr>
      <w:tr>
        <w:trPr>
          <w:trHeight w:val="149"/>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Changes in other assets and liabilities:</w:t>
            </w: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3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5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(55,096)</w:t>
            </w: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(23,370)</w:t>
            </w:r>
          </w:p>
        </w:tc>
      </w:tr>
      <w:tr>
        <w:trPr>
          <w:trHeight w:val="148"/>
        </w:trPr>
        <w:tc>
          <w:tcPr>
            <w:tcW w:w="6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(192)</w:t>
            </w:r>
          </w:p>
        </w:tc>
      </w:tr>
      <w:tr>
        <w:trPr>
          <w:trHeight w:val="148"/>
        </w:trPr>
        <w:tc>
          <w:tcPr>
            <w:tcW w:w="63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15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1,039</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(904)</w:t>
            </w:r>
          </w:p>
        </w:tc>
      </w:tr>
      <w:tr>
        <w:trPr>
          <w:trHeight w:val="148"/>
        </w:trPr>
        <w:tc>
          <w:tcPr>
            <w:tcW w:w="6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(7,468)</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(1,233)</w:t>
            </w:r>
          </w:p>
        </w:tc>
      </w:tr>
      <w:tr>
        <w:trPr>
          <w:trHeight w:val="148"/>
        </w:trPr>
        <w:tc>
          <w:tcPr>
            <w:tcW w:w="63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payable and accrued cost of revenue</w:t>
            </w:r>
          </w:p>
        </w:tc>
        <w:tc>
          <w:tcPr>
            <w:tcW w:w="15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24,009</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10,728</w:t>
            </w:r>
          </w:p>
        </w:tc>
        <w:tc>
          <w:tcPr>
            <w:tcW w:w="100" w:type="dxa"/>
            <w:vAlign w:val="bottom"/>
            <w:shd w:val="clear" w:color="auto" w:fill="CFF0FC"/>
          </w:tcPr>
          <w:p>
            <w:pPr>
              <w:spacing w:after="0"/>
              <w:rPr>
                <w:sz w:val="12"/>
                <w:szCs w:val="12"/>
                <w:color w:val="auto"/>
              </w:rPr>
            </w:pPr>
          </w:p>
        </w:tc>
      </w:tr>
      <w:tr>
        <w:trPr>
          <w:trHeight w:val="149"/>
        </w:trPr>
        <w:tc>
          <w:tcPr>
            <w:tcW w:w="6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accrued expenses</w:t>
            </w: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9,100</w:t>
            </w:r>
          </w:p>
        </w:tc>
        <w:tc>
          <w:tcPr>
            <w:tcW w:w="100" w:type="dxa"/>
            <w:vAlign w:val="bottom"/>
          </w:tcPr>
          <w:p>
            <w:pPr>
              <w:spacing w:after="0"/>
              <w:rPr>
                <w:sz w:val="12"/>
                <w:szCs w:val="12"/>
                <w:color w:val="auto"/>
              </w:rPr>
            </w:pPr>
          </w:p>
        </w:tc>
      </w:tr>
      <w:tr>
        <w:trPr>
          <w:trHeight w:val="148"/>
        </w:trPr>
        <w:tc>
          <w:tcPr>
            <w:tcW w:w="63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Contract liabilities</w:t>
            </w:r>
          </w:p>
        </w:tc>
        <w:tc>
          <w:tcPr>
            <w:tcW w:w="15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7,395</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3,170</w:t>
            </w:r>
          </w:p>
        </w:tc>
        <w:tc>
          <w:tcPr>
            <w:tcW w:w="100" w:type="dxa"/>
            <w:vAlign w:val="bottom"/>
            <w:shd w:val="clear" w:color="auto" w:fill="CFF0FC"/>
          </w:tcPr>
          <w:p>
            <w:pPr>
              <w:spacing w:after="0"/>
              <w:rPr>
                <w:sz w:val="12"/>
                <w:szCs w:val="12"/>
                <w:color w:val="auto"/>
              </w:rPr>
            </w:pPr>
          </w:p>
        </w:tc>
      </w:tr>
      <w:tr>
        <w:trPr>
          <w:trHeight w:val="148"/>
        </w:trPr>
        <w:tc>
          <w:tcPr>
            <w:tcW w:w="6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Lease liabilities</w:t>
            </w: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(1,482)</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(5,202)</w:t>
            </w:r>
          </w:p>
        </w:tc>
      </w:tr>
      <w:tr>
        <w:trPr>
          <w:trHeight w:val="148"/>
        </w:trPr>
        <w:tc>
          <w:tcPr>
            <w:tcW w:w="63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5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w:t>
            </w:r>
          </w:p>
        </w:tc>
      </w:tr>
      <w:tr>
        <w:trPr>
          <w:trHeight w:val="148"/>
        </w:trPr>
        <w:tc>
          <w:tcPr>
            <w:tcW w:w="6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(249)</w:t>
            </w:r>
          </w:p>
        </w:tc>
      </w:tr>
      <w:tr>
        <w:trPr>
          <w:trHeight w:val="142"/>
        </w:trPr>
        <w:tc>
          <w:tcPr>
            <w:tcW w:w="6340" w:type="dxa"/>
            <w:vAlign w:val="bottom"/>
            <w:tcBorders>
              <w:bottom w:val="single" w:sz="8" w:color="CFF0FC"/>
            </w:tcBorders>
            <w:shd w:val="clear" w:color="auto" w:fill="CFF0FC"/>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54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25,410</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1,674</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3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3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Purchases of marketable securities</w:t>
            </w:r>
          </w:p>
        </w:tc>
        <w:tc>
          <w:tcPr>
            <w:tcW w:w="15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(341,705)</w:t>
            </w: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(6,571)</w:t>
            </w:r>
          </w:p>
        </w:tc>
      </w:tr>
      <w:tr>
        <w:trPr>
          <w:trHeight w:val="149"/>
        </w:trPr>
        <w:tc>
          <w:tcPr>
            <w:tcW w:w="6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sale of marketable securities</w:t>
            </w: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20,500</w:t>
            </w:r>
          </w:p>
        </w:tc>
        <w:tc>
          <w:tcPr>
            <w:tcW w:w="100" w:type="dxa"/>
            <w:vAlign w:val="bottom"/>
          </w:tcPr>
          <w:p>
            <w:pPr>
              <w:spacing w:after="0"/>
              <w:rPr>
                <w:sz w:val="12"/>
                <w:szCs w:val="12"/>
                <w:color w:val="auto"/>
              </w:rPr>
            </w:pPr>
          </w:p>
        </w:tc>
      </w:tr>
      <w:tr>
        <w:trPr>
          <w:trHeight w:val="148"/>
        </w:trPr>
        <w:tc>
          <w:tcPr>
            <w:tcW w:w="63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Capitalization of software development and purchases of property and equipment</w:t>
            </w:r>
          </w:p>
        </w:tc>
        <w:tc>
          <w:tcPr>
            <w:tcW w:w="15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(38,905)</w:t>
            </w: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(19,911)</w:t>
            </w:r>
          </w:p>
        </w:tc>
      </w:tr>
      <w:tr>
        <w:trPr>
          <w:trHeight w:val="149"/>
        </w:trPr>
        <w:tc>
          <w:tcPr>
            <w:tcW w:w="6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paid for business combination</w:t>
            </w: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(4,599)</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6340" w:type="dxa"/>
            <w:vAlign w:val="bottom"/>
            <w:tcBorders>
              <w:top w:val="single" w:sz="8" w:color="CFF0FC"/>
              <w:bottom w:val="single" w:sz="8" w:color="CFF0FC"/>
            </w:tcBorders>
            <w:shd w:val="clear" w:color="auto" w:fill="CFF0FC"/>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540" w:type="dxa"/>
            <w:vAlign w:val="bottom"/>
            <w:tcBorders>
              <w:top w:val="single" w:sz="8" w:color="CFF0FC"/>
              <w:bottom w:val="single" w:sz="8" w:color="CFF0FC"/>
            </w:tcBorders>
            <w:shd w:val="clear" w:color="auto" w:fill="CFF0FC"/>
          </w:tcPr>
          <w:p>
            <w:pPr>
              <w:spacing w:after="0"/>
              <w:rPr>
                <w:sz w:val="12"/>
                <w:szCs w:val="12"/>
                <w:color w:val="auto"/>
              </w:rPr>
            </w:pPr>
          </w:p>
        </w:tc>
        <w:tc>
          <w:tcPr>
            <w:tcW w:w="94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(326,209)</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94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(5,982)</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142"/>
        </w:trPr>
        <w:tc>
          <w:tcPr>
            <w:tcW w:w="63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3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issuance of convertible notes</w:t>
            </w:r>
          </w:p>
        </w:tc>
        <w:tc>
          <w:tcPr>
            <w:tcW w:w="15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820" w:type="dxa"/>
            <w:vAlign w:val="bottom"/>
            <w:gridSpan w:val="3"/>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250,000</w:t>
            </w:r>
          </w:p>
        </w:tc>
        <w:tc>
          <w:tcPr>
            <w:tcW w:w="100" w:type="dxa"/>
            <w:vAlign w:val="bottom"/>
            <w:shd w:val="clear" w:color="auto" w:fill="CFF0FC"/>
          </w:tcPr>
          <w:p>
            <w:pPr>
              <w:spacing w:after="0"/>
              <w:rPr>
                <w:sz w:val="12"/>
                <w:szCs w:val="12"/>
                <w:color w:val="auto"/>
              </w:rPr>
            </w:pPr>
          </w:p>
        </w:tc>
      </w:tr>
      <w:tr>
        <w:trPr>
          <w:trHeight w:val="148"/>
        </w:trPr>
        <w:tc>
          <w:tcPr>
            <w:tcW w:w="6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Costs incurred in connection with issuance of convertible notes</w:t>
            </w: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(8,650)</w:t>
            </w:r>
          </w:p>
        </w:tc>
      </w:tr>
      <w:tr>
        <w:trPr>
          <w:trHeight w:val="148"/>
        </w:trPr>
        <w:tc>
          <w:tcPr>
            <w:tcW w:w="63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for repurchase of convertible notes</w:t>
            </w:r>
          </w:p>
        </w:tc>
        <w:tc>
          <w:tcPr>
            <w:tcW w:w="15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820" w:type="dxa"/>
            <w:vAlign w:val="bottom"/>
            <w:gridSpan w:val="3"/>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(215,992)</w:t>
            </w:r>
          </w:p>
        </w:tc>
      </w:tr>
      <w:tr>
        <w:trPr>
          <w:trHeight w:val="149"/>
        </w:trPr>
        <w:tc>
          <w:tcPr>
            <w:tcW w:w="6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 of capped calls</w:t>
            </w: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(17,475)</w:t>
            </w:r>
          </w:p>
        </w:tc>
      </w:tr>
      <w:tr>
        <w:trPr>
          <w:trHeight w:val="148"/>
        </w:trPr>
        <w:tc>
          <w:tcPr>
            <w:tcW w:w="63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 of treasury stock</w:t>
            </w:r>
          </w:p>
        </w:tc>
        <w:tc>
          <w:tcPr>
            <w:tcW w:w="15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820" w:type="dxa"/>
            <w:vAlign w:val="bottom"/>
            <w:gridSpan w:val="3"/>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(8,080)</w:t>
            </w:r>
          </w:p>
        </w:tc>
      </w:tr>
      <w:tr>
        <w:trPr>
          <w:trHeight w:val="149"/>
        </w:trPr>
        <w:tc>
          <w:tcPr>
            <w:tcW w:w="6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stock options exercised</w:t>
            </w: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6,349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2,703</w:t>
            </w:r>
          </w:p>
        </w:tc>
        <w:tc>
          <w:tcPr>
            <w:tcW w:w="100" w:type="dxa"/>
            <w:vAlign w:val="bottom"/>
          </w:tcPr>
          <w:p>
            <w:pPr>
              <w:spacing w:after="0"/>
              <w:rPr>
                <w:sz w:val="12"/>
                <w:szCs w:val="12"/>
                <w:color w:val="auto"/>
              </w:rPr>
            </w:pPr>
          </w:p>
        </w:tc>
      </w:tr>
      <w:tr>
        <w:trPr>
          <w:trHeight w:val="148"/>
        </w:trPr>
        <w:tc>
          <w:tcPr>
            <w:tcW w:w="63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net of underwriters’ discount</w:t>
            </w:r>
          </w:p>
        </w:tc>
        <w:tc>
          <w:tcPr>
            <w:tcW w:w="15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248,400</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 of costs related to issuance of common stock</w:t>
            </w: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(776)</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3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under Siemens agreement</w:t>
            </w:r>
          </w:p>
        </w:tc>
        <w:tc>
          <w:tcPr>
            <w:tcW w:w="15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634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1540" w:type="dxa"/>
            <w:vAlign w:val="bottom"/>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303,973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2,506</w:t>
            </w:r>
          </w:p>
        </w:tc>
        <w:tc>
          <w:tcPr>
            <w:tcW w:w="100" w:type="dxa"/>
            <w:vAlign w:val="bottom"/>
          </w:tcPr>
          <w:p>
            <w:pPr>
              <w:spacing w:after="0"/>
              <w:rPr>
                <w:sz w:val="12"/>
                <w:szCs w:val="12"/>
                <w:color w:val="auto"/>
              </w:rPr>
            </w:pPr>
          </w:p>
        </w:tc>
      </w:tr>
      <w:tr>
        <w:trPr>
          <w:trHeight w:val="142"/>
        </w:trPr>
        <w:tc>
          <w:tcPr>
            <w:tcW w:w="63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Effect of foreign currency translation on cash and cash equivalents</w:t>
            </w:r>
          </w:p>
        </w:tc>
        <w:tc>
          <w:tcPr>
            <w:tcW w:w="15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(38)</w:t>
            </w: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415</w:t>
            </w:r>
          </w:p>
        </w:tc>
        <w:tc>
          <w:tcPr>
            <w:tcW w:w="100" w:type="dxa"/>
            <w:vAlign w:val="bottom"/>
            <w:shd w:val="clear" w:color="auto" w:fill="CFF0FC"/>
          </w:tcPr>
          <w:p>
            <w:pPr>
              <w:spacing w:after="0"/>
              <w:rPr>
                <w:sz w:val="12"/>
                <w:szCs w:val="12"/>
                <w:color w:val="auto"/>
              </w:rPr>
            </w:pPr>
          </w:p>
        </w:tc>
      </w:tr>
      <w:tr>
        <w:trPr>
          <w:trHeight w:val="20"/>
        </w:trPr>
        <w:tc>
          <w:tcPr>
            <w:tcW w:w="6340" w:type="dxa"/>
            <w:vAlign w:val="bottom"/>
            <w:shd w:val="clear" w:color="auto" w:fill="CFF0FC"/>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63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3,136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(1,387)</w:t>
            </w:r>
          </w:p>
        </w:tc>
      </w:tr>
      <w:tr>
        <w:trPr>
          <w:trHeight w:val="148"/>
        </w:trPr>
        <w:tc>
          <w:tcPr>
            <w:tcW w:w="634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and cash equivalents at beginning of the period</w:t>
            </w:r>
          </w:p>
        </w:tc>
        <w:tc>
          <w:tcPr>
            <w:tcW w:w="154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14,996</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22,232</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3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and cash equivalents at end of the period</w:t>
            </w:r>
          </w:p>
        </w:tc>
        <w:tc>
          <w:tcPr>
            <w:tcW w:w="2480" w:type="dxa"/>
            <w:vAlign w:val="bottom"/>
            <w:gridSpan w:val="2"/>
          </w:tcPr>
          <w:p>
            <w:pPr>
              <w:jc w:val="right"/>
              <w:ind w:right="7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18,132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7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20,845</w:t>
            </w:r>
          </w:p>
        </w:tc>
        <w:tc>
          <w:tcPr>
            <w:tcW w:w="100" w:type="dxa"/>
            <w:vAlign w:val="bottom"/>
          </w:tcPr>
          <w:p>
            <w:pPr>
              <w:spacing w:after="0"/>
              <w:rPr>
                <w:sz w:val="12"/>
                <w:szCs w:val="12"/>
                <w:color w:val="auto"/>
              </w:rPr>
            </w:pPr>
          </w:p>
        </w:tc>
      </w:tr>
      <w:tr>
        <w:trPr>
          <w:trHeight w:val="20"/>
        </w:trPr>
        <w:tc>
          <w:tcPr>
            <w:tcW w:w="6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63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15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6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2480" w:type="dxa"/>
            <w:vAlign w:val="bottom"/>
            <w:gridSpan w:val="2"/>
          </w:tcPr>
          <w:p>
            <w:pPr>
              <w:jc w:val="right"/>
              <w:ind w:right="7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7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2,600</w:t>
            </w:r>
          </w:p>
        </w:tc>
        <w:tc>
          <w:tcPr>
            <w:tcW w:w="100" w:type="dxa"/>
            <w:vAlign w:val="bottom"/>
          </w:tcPr>
          <w:p>
            <w:pPr>
              <w:spacing w:after="0"/>
              <w:rPr>
                <w:sz w:val="12"/>
                <w:szCs w:val="12"/>
                <w:color w:val="auto"/>
              </w:rPr>
            </w:pPr>
          </w:p>
        </w:tc>
      </w:tr>
      <w:tr>
        <w:trPr>
          <w:trHeight w:val="148"/>
        </w:trPr>
        <w:tc>
          <w:tcPr>
            <w:tcW w:w="63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paid for income taxes</w:t>
            </w:r>
          </w:p>
        </w:tc>
        <w:tc>
          <w:tcPr>
            <w:tcW w:w="15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1,234</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3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Stock-based compensation included in capitalized software development costs</w:t>
            </w:r>
          </w:p>
        </w:tc>
        <w:tc>
          <w:tcPr>
            <w:tcW w:w="15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7,117</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Non-cash consideration in connection with business combination</w:t>
            </w: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12"/>
                <w:szCs w:val="12"/>
                <w:color w:val="auto"/>
              </w:rPr>
            </w:pPr>
          </w:p>
        </w:tc>
      </w:tr>
      <w:tr>
        <w:trPr>
          <w:trHeight w:val="148"/>
        </w:trPr>
        <w:tc>
          <w:tcPr>
            <w:tcW w:w="63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Non-cash purchase of property and equipment</w:t>
            </w:r>
          </w:p>
        </w:tc>
        <w:tc>
          <w:tcPr>
            <w:tcW w:w="15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FF0FC"/>
          </w:tcPr>
          <w:p>
            <w:pPr>
              <w:spacing w:after="0"/>
              <w:rPr>
                <w:sz w:val="12"/>
                <w:szCs w:val="12"/>
                <w:color w:val="auto"/>
              </w:rPr>
            </w:pPr>
          </w:p>
        </w:tc>
      </w:tr>
      <w:tr>
        <w:trPr>
          <w:trHeight w:val="188"/>
        </w:trPr>
        <w:tc>
          <w:tcPr>
            <w:tcW w:w="6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Conversion of 2027 convertible notes to common stock</w:t>
            </w:r>
          </w:p>
        </w:tc>
        <w:tc>
          <w:tcPr>
            <w:tcW w:w="1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-2844800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-2844800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-2377440</wp:posOffset>
            </wp:positionV>
            <wp:extent cx="93980" cy="1365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-2377440</wp:posOffset>
            </wp:positionV>
            <wp:extent cx="93980" cy="1365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-1323340</wp:posOffset>
            </wp:positionV>
            <wp:extent cx="93980" cy="1365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-1323340</wp:posOffset>
            </wp:positionV>
            <wp:extent cx="93980" cy="1365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-1104900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-907415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-907415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9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w:t>
        <w:tab/>
        <w:t>Organization and Description of Business</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Xometry, Inc. (“Xometry”, the “Company”, “we”, or “our”) was incorporated in the State of Delaware in May 2013 and our corporate headquarters is located in North Bethesda, Maryland. Xometry is an AI-native global online manufacturing marketplace with a suite of services that are rapidly digitizing the custom manufacturing industry. Xometry’s marketplace enables the design-to-production workflow by providing the AI-driven execution layer that translates design intent into intelligent sourcing decisions and production outcomes at scale. The marketplace offers transparency and traceability from the first quote to final delivery. We provide services that power the broader manufacturing lifecycle. These services include advertising and marketing services through our Thomasnet industrial sourcing platform, financial services and Workcenter, our cloud-based manufacturing execution system. These services deepen our relationships with suppliers. Together, our marketplace and services platforms provide manufacturers with the critical resources they need to grow their business and make it easy for buyers to create locally resilient supply chains.</w:t>
      </w:r>
    </w:p>
    <w:p>
      <w:pPr>
        <w:spacing w:after="0" w:line="161" w:lineRule="exact"/>
        <w:rPr>
          <w:sz w:val="20"/>
          <w:szCs w:val="20"/>
          <w:color w:val="auto"/>
        </w:rPr>
      </w:pPr>
    </w:p>
    <w:p>
      <w:pPr>
        <w:ind w:left="380" w:right="5500" w:hanging="372"/>
        <w:spacing w:after="0" w:line="412" w:lineRule="auto"/>
        <w:tabs>
          <w:tab w:leader="none" w:pos="36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and Summary of Significant Accounting Policies </w:t>
      </w:r>
      <w:r>
        <w:rPr>
          <w:rFonts w:ascii="Times New Roman" w:cs="Times New Roman" w:eastAsia="Times New Roman" w:hAnsi="Times New Roman"/>
          <w:sz w:val="18"/>
          <w:szCs w:val="18"/>
          <w:b w:val="1"/>
          <w:bCs w:val="1"/>
          <w:i w:val="1"/>
          <w:iCs w:val="1"/>
          <w:color w:val="auto"/>
        </w:rPr>
        <w:t>(a)Basis of Presentation</w:t>
      </w:r>
    </w:p>
    <w:p>
      <w:pPr>
        <w:spacing w:after="0" w:line="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Company’s Annual Report on Form 10-K filed with the SEC on February 24, 2026.</w:t>
      </w:r>
    </w:p>
    <w:p>
      <w:pPr>
        <w:spacing w:after="0" w:line="14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2025, included herein, was derived from the audited financial statements as of that date, but may not include all disclosures including certain notes required by U.S. GAAP on an annual reporting basis. In the opinion of management, the accompanying condensed consolidated financial statements reflect all normal recurring adjustments necessary to present fairly the financial position, results of operations, comprehensive loss, stockholders’ equity and cash flows for the interim periods, but are not necessarily indicative of the results of operations to be anticipated for the full year 2026 or any future period. The Company has two reportable segments which are referred to as: (1) the United States (“U.S.”) and (2) International.</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Foreign Operations and Comprehensive Income (Loss)</w:t>
      </w:r>
    </w:p>
    <w:p>
      <w:pPr>
        <w:spacing w:after="0" w:line="18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U.S. dollar (“USD”) is the functional currency for Xometry’s consolidated subsidiary operating in the U.S. The primary functional currency for the Company’s consolidated subsidiaries operating in Germany, United Kingdom, Turkey, China, Japan and India is the Euro, British Pound Sterling, Turkish Lira, Yuan, Yen and Indian Rupee, respectively. For the Company’s consolidated subsidiaries whose functional currencies are not the USD, the Company translates their financial statements into USD. The Company translates assets and liabilities at the exchange rate in effect as of the financial statement date. Revenue and expense accounts are translated using an average exchange rate for the period. Foreign currency remeasurement and transaction gains and losses are recorded in other expenses, in the Condensed Consolidated Statements of Operations and Comprehensive Income (Loss). Gains and losses resulting from translation are included in accumulated other comprehensive income (loss), as a separate component of equity.</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Noncontrolling Interest</w:t>
      </w:r>
    </w:p>
    <w:p>
      <w:pPr>
        <w:spacing w:after="0" w:line="20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have a 66.67% ownership in Incom Co., LTD. As we have a controlling interest in Incom Co., LTD, we have consolidated Incom Co., LTD into our unaudited condensed consolidated financial statements. The portion of equity in Incom Co., LTD not owned by the Company is accounted for as a noncontrolling interest. We present the portion of any equity that we do not own in a consolidated entity as noncontrolling interest and classify their interest as a component of total equity, separate from total stockholders’ equity on our Condensed Consolidated Balance Sheets. We include Net income attributable to the noncontrolling interest in Net loss in our Condensed Consolidated Statements of Operations and Comprehensive Income (Loss).</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(b)Use of Estimates</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preparation of the Company’s unaudited condensed consolidated financial statements in conformity with U.S. GAAP requires management to make estimates and assumptions, which affect the reported amounts in the financial statements and accompanying notes. Actual results could differ from those estimates.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(c)Business Combinations</w:t>
      </w:r>
    </w:p>
    <w:p>
      <w:pPr>
        <w:spacing w:after="0" w:line="18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Company accounts for business combinations using the acquisition method of accounting, which requires, among other things, allocation of the fair value of purchase consideration to the tangible and intangible assets acquired and liabilities assumed at their estimated fair value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the valuation of intangible assets. Management’s estimates of fair value are based upon assumptions believed to be reasonable, but which are inherently uncertain and unpredictable and, as a result, actual results may differ from estimates. During the measurement period, not to exceed one year from the date of acquisition, the Company may record adjustments to the assets acquired and liabilities assumed, with a corresponding offset to goodwill if new information is obtained related to facts and circumstances that existed as of the acquisition date. Upon the conclusion of the measurement period or final determination of the fair value of assets acquired or liabilities assumed, whichever comes first, any subsequent adjustments are reflected in the consolidated statements of operations. Acquisition costs, such as legal and consulting fees, are expensed as incurred.</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(d)Fair Value Measurements and Financial Instruments</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 measures certain assets and liabilities at fair value on a recurring basis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w:t>
      </w:r>
    </w:p>
    <w:p>
      <w:pPr>
        <w:spacing w:after="0" w:line="13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18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Level 2 -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13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Level 3 - Unobservable inputs reflecting the Company’s own assumptions incorporated in valuation techniques used to determine fair value. These assumptions are required to be consistent with market participant assumptions that are reasonably available.</w:t>
      </w:r>
    </w:p>
    <w:p>
      <w:pPr>
        <w:spacing w:after="0" w:line="13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carrying amounts of certain of the Company’s financial instruments, which include cash and cash equivalents, accounts receivable, prepaid expenses, other assets, accounts payable, accrued expenses and contract liabilities approximate their fair values due to their short maturities. The Company’s marketable securities are recorded at fair value.</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(e)Cash and Cash Equivalents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Cash and cash equivalents consist of cash held in checking accounts. These amounts are stated at cost, which approximates fair value.</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(f)Marketable Securities</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measures its marketable securities at fair value. The Company’s marketable securities represent our investments in a short-term money market fund. These marketable securities have maturities of three months or less. As of September 30, 2026 and December 31, 2025, the Company’s marketable securities of $486.9 million and $204.1 million, respectively, were recorded at fair value, within Level 1 of the fair value hierarchy. The fair value of the Company’s Level 1 financial instruments is based on quoted prices in active markets, and total fair value is the published market price per unit multiplied by the number of units held without consideration of transaction costs, discounts or blockage factors.</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(g)Accounts Receivable</w:t>
      </w:r>
    </w:p>
    <w:p>
      <w:pPr>
        <w:spacing w:after="0" w:line="20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Accounts receivable are stated at the amount the Company expects to collect from outstanding balances. The Company’s accounts receivable do not bear interest. Amounts collected on accounts receivable are included in net cash used in operating activities in the Condensed Consolidated Statements of Cash Flows. For buyers for which the Company provides credit, the Company performs credit inquiries, including reference checks, and queries credit ratings services and other publicly available information. Management provides for probable uncollectible amounts through a provision for bad debt expense and an adjustment to a valuation allowance based on the age of the outstanding amounts, each customer’s expected ability to pay and collection history and current market conditions. The Company reviews its valuation allowance monthly. Past due balances over 90 days and over a specified amount are reviewed</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1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individually for collectability. Balances that are still outstanding after management has used reasonable collection efforts are written off through a charge to the valuation allowance and a credit to accounts receivable.</w:t>
      </w:r>
    </w:p>
    <w:p>
      <w:pPr>
        <w:spacing w:after="0" w:line="1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allowance for credit losses related to accounts receivable and changes were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2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1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year, January 1</w:t>
            </w:r>
          </w:p>
        </w:tc>
        <w:tc>
          <w:tcPr>
            <w:tcW w:w="232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3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100" w:type="dxa"/>
            <w:vAlign w:val="bottom"/>
          </w:tcPr>
          <w:p>
            <w:pPr>
              <w:spacing w:after="0"/>
              <w:rPr>
                <w:sz w:val="18"/>
                <w:szCs w:val="18"/>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 to provision accounts</w:t>
            </w:r>
          </w:p>
        </w:tc>
        <w:tc>
          <w:tcPr>
            <w:tcW w:w="1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6,365</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6,586</w:t>
            </w: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Write-offs or other</w:t>
            </w: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(5,230)</w:t>
            </w:r>
          </w:p>
        </w:tc>
        <w:tc>
          <w:tcPr>
            <w:tcW w:w="42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(3,535)</w:t>
            </w:r>
          </w:p>
        </w:tc>
      </w:tr>
      <w:tr>
        <w:trPr>
          <w:trHeight w:val="20"/>
        </w:trPr>
        <w:tc>
          <w:tcPr>
            <w:tcW w:w="6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period end, September 30 and December 31, respectively</w:t>
            </w:r>
          </w:p>
        </w:tc>
        <w:tc>
          <w:tcPr>
            <w:tcW w:w="2320" w:type="dxa"/>
            <w:vAlign w:val="bottom"/>
            <w:gridSpan w:val="2"/>
            <w:shd w:val="clear" w:color="auto" w:fill="CFF0FC"/>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9,098</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100" w:type="dxa"/>
            <w:vAlign w:val="bottom"/>
            <w:shd w:val="clear" w:color="auto" w:fill="CFF0FC"/>
          </w:tcPr>
          <w:p>
            <w:pPr>
              <w:spacing w:after="0"/>
              <w:rPr>
                <w:sz w:val="19"/>
                <w:szCs w:val="19"/>
                <w:color w:val="auto"/>
              </w:rPr>
            </w:pPr>
          </w:p>
        </w:tc>
      </w:tr>
      <w:tr>
        <w:trPr>
          <w:trHeight w:val="20"/>
        </w:trPr>
        <w:tc>
          <w:tcPr>
            <w:tcW w:w="60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(h)Software Development, Property and Equipment and Long-Lived Assets</w:t>
      </w:r>
    </w:p>
    <w:p>
      <w:pPr>
        <w:spacing w:after="0" w:line="20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Software development and property and equipment are stated at cost. Depreciation is calculated on the straight-line method over the estimated useful life of the assets, which range from two to ten years, or in the case of leasehold improvements, over the shorter of the remaining lease term or the useful life of the asset.</w:t>
      </w:r>
    </w:p>
    <w:p>
      <w:pPr>
        <w:spacing w:after="0" w:line="13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Software development, property and equipment and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14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Eligible internal-use software development costs are capitalized subsequent to the completion of the preliminary project stage. Such costs include internal and external direct development costs totaling $42.6 million as of September 30, 2026 and $28.5 million as of December 31, 2025. After all substantial testing and deployment is completed and the software is ready for its intended use, capitalization is discontinued and the internal-use software costs are placed in service and amortized using the straight-line method over the estimated useful life of the software, generally three years.</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(i)Goodwill</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Goodwill represents the excess purchase price over the estimated fair value of net assets acquired in a business combination. As of September 30, 2026 and December 31, 2025, the Company’s goodwill is attributable to both the U.S. and International reporting units. Goodwill is not amortized. The Company tests goodwill for impairment annually in the fourth quarter, or more frequently, if events or changes in circumstances indicate that the carrying value of a reporting unit, including goodwill, might be impaired.</w:t>
      </w:r>
    </w:p>
    <w:p>
      <w:pPr>
        <w:spacing w:after="0" w:line="13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testing for goodwill impairment, we first assess qualitative factors to determine whether the existence of events or circumstances leads to a determination that it is more likely than not that the fair value of a reporting unit is less than its carrying amount. These qualitative factors assessed may include the following: (i) significant changes in the manner of our use of the assets or the strategy of our overall business, (ii) certain restructuring initiatives, (iii) significant negative industry or economic trends and (iv) significant decline in our share price for a sustained period. If, after assessing the totality of events or circumstances, we determine it is not more likely than not that the fair value of a reporting unit is less than its carrying amount, then additional impairment testing is not required. However, if we conclude otherwise, we proceed to the quantitative assessment.</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(j)Revenue</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 xml:space="preserve">The Company derives the majority of its U.S. and International marketplace revenue from the sale of parts and assemblies fulfilled using a vast network of suppliers. The Company recognizes revenue from the sales to our customers pursuant to the Financial Accounting Standard Board’s (“FASB”) Accounting Standards Codification (“ASC”) </w:t>
      </w:r>
      <w:r>
        <w:rPr>
          <w:rFonts w:ascii="Times New Roman" w:cs="Times New Roman" w:eastAsia="Times New Roman" w:hAnsi="Times New Roman"/>
          <w:sz w:val="18"/>
          <w:szCs w:val="18"/>
          <w:i w:val="1"/>
          <w:iCs w:val="1"/>
          <w:color w:val="auto"/>
        </w:rPr>
        <w:t>Topic 606, Revenue from Contracts with Customers</w:t>
      </w:r>
      <w:r>
        <w:rPr>
          <w:rFonts w:ascii="Times New Roman" w:cs="Times New Roman" w:eastAsia="Times New Roman" w:hAnsi="Times New Roman"/>
          <w:sz w:val="18"/>
          <w:szCs w:val="18"/>
          <w:color w:val="auto"/>
        </w:rPr>
        <w:t xml:space="preserve"> (“ASC 606”).</w:t>
      </w:r>
    </w:p>
    <w:p>
      <w:pPr>
        <w:spacing w:after="0" w:line="13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determines that a contract exists between the Company and the customer when the customer accepts a quote and places an order. The process is governed by the Company’s standard terms and conditions or other agreed upon terms with Xometry’s buyers. Upon receiving an order through Xometry’s platform, the Company identifies the underlying performance obligation(s) necessary for revenue recognition. Using Xometry’s in-house technology, the Company determines the transaction price for the</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manufactured part(s) or assembly on a stand-alone basis at order initiation. The Company recognizes revenue as control is transferred to the customer, either at a point in time or over time.</w:t>
      </w:r>
    </w:p>
    <w:p>
      <w:pPr>
        <w:spacing w:after="0" w:line="13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Marketplace revenue is primarily recognized from sales to Xometry’s customers upon shipment, at which point control over the part(s) or assembly has transferred. The Company has elected to treat shipping and handling as a fulfillment activity and not as a separate performance obligation.</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certain contracts, when we create or enhance an asset that the customer controls, marketplace revenue is recognized over time. Marketplace revenue is recognized over time using the cost-to-cost input method as this measure most accurately depicts the progress of our work and transfer of control to our customers. Changes in estimates affecting sales, costs and profits are recognized in the period in which the change becomes known using the cumulative catch-up method of accounting, resulting in the cumulative effect of changes reflected in the current period.</w:t>
      </w:r>
    </w:p>
    <w:p>
      <w:pPr>
        <w:spacing w:after="0" w:line="13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 has concluded that it is the principal in the sale of part(s) and assemblies that use the Xometry marketplace because the Company controls the manufacturing by obtaining a right to direct a third-party manufacturer to fulfill the performance obligation Xometry has with the Company’s customers on Xometry’s behalf. The Company has considered the following conditions of the sale: (i) the Company has the obligation of providing the specified product to the customer, (ii) the Company has discretion with respect to establishing the price of the product and margin risk from the price the Company pays the suppliers, (iii) the Company has discretion in determining how to fulfill each order, including selecting the supplier and (iv) Xometry bears certain risk for product quality to the extent the customer is not satisfied with the final product.</w:t>
      </w:r>
    </w:p>
    <w:p>
      <w:pPr>
        <w:spacing w:after="0" w:line="16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Xometry also derives revenue from its services (previously referred to as “supplier services”) which includes the sale of marketing and advertising services and financial service products. This revenue is generally recognized as control is transferred to the customer, in an amount reflecting the consideration we expect to be entitled to in exchange for such product or service. From time to time, a purchase order with a customer may involve multiple performance obligations, including a combination of some or all of our products. Judgment may be required in determining whether products are considered distinct performance obligations that should be accounted for separately or as one combined performance obligation. Revenue is recognized over the period or at the point in time in which the performance obligations are satisfied, as applicable. Consideration is typically determined based on a fixed unit price for the service or product provided. For purchase orders involving multiple performance obligations, the transaction price is allocated to each performance obligation based on the relative standalone selling price, and recognized as revenue when each individual product or service is transferred to the customer.</w:t>
      </w:r>
    </w:p>
    <w:p>
      <w:pPr>
        <w:spacing w:after="0" w:line="14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 has certain contracts with variable consideration in form of returns, refunds and allowances, which may affect the transaction price used as the basis for revenue recognition. At September 30, 2026 and December 31, 2025, the Company had a provision for estimated returns, refunds or allowances of approximately $0.5 million and $0.2 million, respectively.</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Sales tax collected from customers and remitted to governmental authorities is excluded from revenue.</w:t>
      </w:r>
    </w:p>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18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Contract liabilities are primarily derived from payments received in advance or at the time an order is placed, for which the associated performance obligations have not been satisfied and revenue has not been recognized based on the Company’s revenue recognition criteria described above.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following table presents contract liabilities as of December 31, 2025 and September 30, 2026 (in thousands):</w:t>
            </w:r>
          </w:p>
        </w:tc>
        <w:tc>
          <w:tcPr>
            <w:tcW w:w="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9"/>
        </w:trPr>
        <w:tc>
          <w:tcPr>
            <w:tcW w:w="9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Roll forward of contract liabilities:</w:t>
            </w:r>
          </w:p>
        </w:tc>
        <w:tc>
          <w:tcPr>
            <w:tcW w:w="7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at December 31, 2025</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10,319</w:t>
            </w: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7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(242,593)</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Payments received in advance</w:t>
            </w:r>
          </w:p>
        </w:tc>
        <w:tc>
          <w:tcPr>
            <w:tcW w:w="7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249,941</w:t>
            </w:r>
          </w:p>
        </w:tc>
        <w:tc>
          <w:tcPr>
            <w:tcW w:w="100" w:type="dxa"/>
            <w:vAlign w:val="bottom"/>
          </w:tcPr>
          <w:p>
            <w:pPr>
              <w:spacing w:after="0"/>
              <w:rPr>
                <w:sz w:val="18"/>
                <w:szCs w:val="18"/>
                <w:color w:val="auto"/>
              </w:rPr>
            </w:pPr>
          </w:p>
        </w:tc>
      </w:tr>
      <w:tr>
        <w:trPr>
          <w:trHeight w:val="250"/>
        </w:trPr>
        <w:tc>
          <w:tcPr>
            <w:tcW w:w="9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 at September 30, 2026</w:t>
            </w: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recognized approximately $9.8 million of revenue related to its contract liabilities as of December 31, 2025.</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Sales Contract Acquisition Costs</w:t>
      </w:r>
    </w:p>
    <w:p>
      <w:pPr>
        <w:spacing w:after="0" w:line="20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Company’s incremental costs to obtain a contract may include a sales commission which is generally determined on a per-order basis. For marketplace contracts, sales commissions are generally expensed as incurred. When applicable, for service contracts in excess of one year, the Company amortizes such costs on a straight-line basis over the average customer life of two years for new customers and over the renewal period for existing customers which is generally one year. Sales commissions are included in the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Company’s sales and marketing expenses in the Condensed Consolidated Statements of Operations and Comprehensive Income (Loss). For the three and nine months ended September 30, 2026, the Company recognized approximately $1.0 million and $2.4 million, respectively, of amortization related to deferred sales commissions. For the three and nine months ended September 30, 2025, the Company recognized approximately $0.7 million and $2.1 million, respectively, of amortization related to deferred sales commissions. As of September 30, 2026 and December 31, 2025, the Company had deferred sales contract acquisition costs of $0.6 million and $0.4 million, respectively. Deferred sales contract acquisition costs are classified in Other current assets on the Condensed Consolidated Balance Sheets.</w:t>
      </w:r>
    </w:p>
    <w:p>
      <w:pPr>
        <w:spacing w:after="0" w:line="156"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Cost of Revenue</w:t>
      </w:r>
    </w:p>
    <w:p>
      <w:pPr>
        <w:spacing w:after="0" w:line="18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Cost of revenue for marketplace primarily consists of the cost of the products that are manufactured or produced by the Company’s suppliers for delivery to buyers on the Company’s platform, internal and external production costs, shipping costs, and certain internal depreciation.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Cost of revenue for services primarily consists of internal and external production costs and website hosting.</w:t>
      </w:r>
    </w:p>
    <w:p>
      <w:pPr>
        <w:spacing w:after="0" w:line="194"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Leases</w:t>
      </w:r>
    </w:p>
    <w:p>
      <w:pPr>
        <w:spacing w:after="0" w:line="18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and the classification of that lease, if applicable, at its inception. Operating leases are included in operating lease right-of-use (“ROU”) assets, operating lease liabilities, current portion and operating lease liabilities, net of current portion in the Condensed Consolidated Balance Sheets. For leases with terms of twelve months or less, the Company does not recognize ROU assets or lease liabilities on the Condensed Consolidated Balance Sheets. Additionally, the Company elected to use the practical expedient to not separate lease and non-lease components for leases of real estate, meaning that for these leases, the non-lease components are included in the associated ROU asset and lease liability balances on the Company’s Condensed Consolidated Balance Sheets.</w:t>
      </w:r>
    </w:p>
    <w:p>
      <w:pPr>
        <w:spacing w:after="0" w:line="14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under the lease. Operating lease ROU assets and lease liabilities are recognized at the lease commencement date based on the present value of lease payments over the lease term. The implicit rate within the Company’s operating leases is generally not determinable, as such the Company uses its incremental borrowing rate at lease commencement to determine the present value of lease payments. The operating lease ROU asset also includes any lease prepayments, offset by lease incentives. Certain of the Company’s leases include options to extend or terminate the lease. The expected lease term includes options to extend or terminate the lease when it is reasonably certain the Company will exercise such option.</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Lease expense is recognized on a straight-line basis over the term of the lease.</w:t>
      </w:r>
    </w:p>
    <w:p>
      <w:pPr>
        <w:spacing w:after="0" w:line="181"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Sales and Marketing</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Sales and marketing expenses are expensed as incurred and include the costs of digital marketing strategies, branding costs and other advertising costs, certain depreciation and amortization expense, contract acquisition costs and compensation expenses, including stock-based compensation, to the Company’s sales and marketing employees. For the three and nine months ended September 30, 2026, the Company’s advertising costs were $8.8 million and $26.2 million, respectively. For the three and nine months ended September 30, 2025, the Company’s advertising costs were $9.2 million and $25.3 million, respectively.</w:t>
      </w:r>
    </w:p>
    <w:p>
      <w:pPr>
        <w:spacing w:after="0" w:line="152"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Operations and Support</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Operations and support expenses are the costs the Company incurs in support of the customers and suppliers on Xometry’s platforms which are provided by phone, email and chat for purposes of resolving customer and supplier related matters. These costs primarily consist of compensation expenses of the support staff, including stock-based compensation, certain depreciation and amortization expense and software costs used in delivering customer services.</w:t>
      </w:r>
    </w:p>
    <w:p>
      <w:pPr>
        <w:spacing w:after="0" w:line="135"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Product Development</w:t>
      </w:r>
    </w:p>
    <w:p>
      <w:pPr>
        <w:spacing w:after="0" w:line="20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Product development costs which are not eligible for capitalization are expensed as incurred. These costs primarily consist of compensation expenses, including stock-based compensation to the Company’s employees performing routine improvements and maintenance on our platforms not related to a specific capitalizable project, software costs and certain depreciation and amortization expense.</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93"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8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primarily consist of compensation expenses, including stock-based compensation expenses, for executive, finance, legal and other administrative personnel, professional service fees and certain depreciation and amortization expense.</w:t>
      </w:r>
    </w:p>
    <w:p>
      <w:pPr>
        <w:spacing w:after="0" w:line="131"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All stock-based compensation, including stock options, restricted stock units (“RSUs”) and performance restricted stock units (“PRSUs”), are measured at the grant date fair value of the award. The fair value of the restricted stock units and PRSUs is determined using the fair value of the Company’s Class A common stock on the date of grant. The Company estimates grant date fair value of stock options using the Black-Scholes option-pricing model. The fair value of stock options, RSUs and PRSUs are recognized as compensation expense on a straight-line basis over the requisite service period, which is typically three to four years. Forfeitures are recorded in the period in which they occur.</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Black-Scholes model considers several variables and assumptions in estimating the fair value of stock-based awards.</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These variables include:</w:t>
      </w:r>
    </w:p>
    <w:p>
      <w:pPr>
        <w:spacing w:after="0" w:line="185" w:lineRule="exact"/>
        <w:rPr>
          <w:sz w:val="20"/>
          <w:szCs w:val="20"/>
          <w:color w:val="auto"/>
        </w:rPr>
      </w:pPr>
    </w:p>
    <w:p>
      <w:pPr>
        <w:ind w:left="660" w:hanging="27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annual dividend yield;</w:t>
      </w:r>
    </w:p>
    <w:p>
      <w:pPr>
        <w:spacing w:after="0" w:line="117" w:lineRule="exact"/>
        <w:rPr>
          <w:rFonts w:ascii="Times New Roman" w:cs="Times New Roman" w:eastAsia="Times New Roman" w:hAnsi="Times New Roman"/>
          <w:sz w:val="18"/>
          <w:szCs w:val="18"/>
          <w:color w:val="auto"/>
        </w:rPr>
      </w:pPr>
    </w:p>
    <w:p>
      <w:pPr>
        <w:ind w:left="660" w:hanging="27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over the expected term;</w:t>
      </w:r>
    </w:p>
    <w:p>
      <w:pPr>
        <w:spacing w:after="0" w:line="117" w:lineRule="exact"/>
        <w:rPr>
          <w:rFonts w:ascii="Times New Roman" w:cs="Times New Roman" w:eastAsia="Times New Roman" w:hAnsi="Times New Roman"/>
          <w:sz w:val="18"/>
          <w:szCs w:val="18"/>
          <w:color w:val="auto"/>
        </w:rPr>
      </w:pPr>
    </w:p>
    <w:p>
      <w:pPr>
        <w:ind w:left="660" w:hanging="27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w:t>
      </w:r>
    </w:p>
    <w:p>
      <w:pPr>
        <w:spacing w:after="0" w:line="117" w:lineRule="exact"/>
        <w:rPr>
          <w:rFonts w:ascii="Times New Roman" w:cs="Times New Roman" w:eastAsia="Times New Roman" w:hAnsi="Times New Roman"/>
          <w:sz w:val="18"/>
          <w:szCs w:val="18"/>
          <w:color w:val="auto"/>
        </w:rPr>
      </w:pPr>
    </w:p>
    <w:p>
      <w:pPr>
        <w:ind w:left="660" w:hanging="27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interest rate;</w:t>
      </w:r>
    </w:p>
    <w:p>
      <w:pPr>
        <w:spacing w:after="0" w:line="117" w:lineRule="exact"/>
        <w:rPr>
          <w:rFonts w:ascii="Times New Roman" w:cs="Times New Roman" w:eastAsia="Times New Roman" w:hAnsi="Times New Roman"/>
          <w:sz w:val="18"/>
          <w:szCs w:val="18"/>
          <w:color w:val="auto"/>
        </w:rPr>
      </w:pPr>
    </w:p>
    <w:p>
      <w:pPr>
        <w:ind w:left="660" w:hanging="27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value of the underlying common stock; and</w:t>
      </w:r>
    </w:p>
    <w:p>
      <w:pPr>
        <w:spacing w:after="0" w:line="117" w:lineRule="exact"/>
        <w:rPr>
          <w:rFonts w:ascii="Times New Roman" w:cs="Times New Roman" w:eastAsia="Times New Roman" w:hAnsi="Times New Roman"/>
          <w:sz w:val="18"/>
          <w:szCs w:val="18"/>
          <w:color w:val="auto"/>
        </w:rPr>
      </w:pPr>
    </w:p>
    <w:p>
      <w:pPr>
        <w:ind w:left="660" w:hanging="27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w:t>
      </w:r>
    </w:p>
    <w:p>
      <w:pPr>
        <w:spacing w:after="0" w:line="18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For all stock options granted, the Company calculated the expected term using the simplified method for “plain vanilla” stock option awards. The risk-free interest rate is based on the yield available on U.S. Treasury issuances similar in duration to the expected term of the stock-based award. The Company estimates its expected share price volatility based on the historical volatility of publicly traded peer companies and/or its own volatility and expects to continue to do so until such time as it has adequate historical data regarding the volatility of its own traded share price. The Company utilized a dividend yield of zero, as it had no history or plan of declaring dividends on its common stock.</w:t>
      </w:r>
    </w:p>
    <w:p>
      <w:pPr>
        <w:spacing w:after="0" w:line="15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fair value for PRSUs is recognized on a ratable basis over the requisite service period of three years when it is probable the performance conditions of the awards will be met. The Company reassesses the probability of vesting at each reporting period and adjusts the total compensation expense of the award based on this probability assessment.</w:t>
      </w:r>
    </w:p>
    <w:p>
      <w:pPr>
        <w:spacing w:after="0" w:line="131"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Net Income (Loss) Per Share Attributable to Common Stockholders</w:t>
      </w:r>
    </w:p>
    <w:p>
      <w:pPr>
        <w:spacing w:after="0" w:line="18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Company computes net income (loss) per share using the two-class method required for multiple classes of common stock and participating securities. The two-class method requires income available to common stockholders for the period to be allocated between common stock and participating securities based upon their respective rights to receive dividends as if all income for the period had been distributed. Certain unvested share-based payment awards that contain nonforfeitable rights to dividends are treated as participating securities and therefore included in computing net income per share using the two-class method. The rights, including the liquidation and dividend rights, of the Class A common stock and Class B common stock are substantially identical, other than voting rights. Accordingly, the Class A common stock and Class B common stock share proportionately in the Company’s net income (loss).</w:t>
      </w:r>
    </w:p>
    <w:p>
      <w:pPr>
        <w:spacing w:after="0" w:line="158"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No. 2024-04, Debt with Conversion and Other Options (Subtopic 470-20): Induced Conversions of Convertible Debt Instruments, which clarifies the assessment of whether certain settlements of convertible debt instruments should be accounted for as an inducement conversion or extinguishment of convertible debt. The Company adopted this new standard in January 2026. The adoption of this new standard did not impact our results of operations, cash flows, and financial condition.</w:t>
      </w:r>
    </w:p>
    <w:p>
      <w:pPr>
        <w:spacing w:after="0" w:line="13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July 2025, the FASB issued ASU No. 2025-05, Financial Instruments—Credit Losses (Topic 326): Measurement of Credit Losses for Accounts Receivable and Contract Assets, which amends ASC 326-20 to provide a practical expedient (for all entities) and an accounting policy election (for all entities, other than public business entities that elect the practical expedient) related to the estimation</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expected credit losses for current accounts receivable and current contract assets that arise from transactions accounted for under ASC 606. The Company adopted this new standard in January 2026. The adoption of this new standard did not impact our results of operations, cash flows, and financial condition.</w:t>
      </w:r>
    </w:p>
    <w:p>
      <w:pPr>
        <w:spacing w:after="0" w:line="145" w:lineRule="exact"/>
        <w:rPr>
          <w:sz w:val="20"/>
          <w:szCs w:val="20"/>
          <w:color w:val="auto"/>
        </w:rPr>
      </w:pPr>
    </w:p>
    <w:p>
      <w:pPr>
        <w:ind w:left="1080" w:hanging="563"/>
        <w:spacing w:after="0"/>
        <w:tabs>
          <w:tab w:leader="none" w:pos="108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8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(“ASU 2024-03”). Under ASU 2024-03, a PBE would be required to disclose information about purchases of inventory, employee compensation, depreciation, intangible asset amortization, and depletion for each income statement line item that contains those expenses. ASU 2024-03 is effective for annual reporting periods beginning after December 15, 2026 and interim reporting periods beginning after December 15, 2027. ASU 2024-03 allows for early adoption and requires either prospective adoption to financial statements issued for reporting periods after the effective date of ASU 2024-03 or retrospective adoption to any or all prior periods presented in the financial statements. The Company is currently assessing the impact of ASU 2024-03 on our consolidated financial statements and related disclosures.</w:t>
      </w:r>
    </w:p>
    <w:p>
      <w:pPr>
        <w:spacing w:after="0" w:line="148"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May 2025, the FASB issued ASU No. 2025-03, Business Combinations (Topic 805) and Consolidation (Topic 810): Determining the Accounting Acquirer in the Acquisition of a Variable Interest Entity (“ASU 2025-03”), which requires that in a business combination involving a variable interest entity (“VIE”) where equity interests are issued as consideration, the determination of the accounting acquirer should follow the general guidance under ASC 805-10-25 rather than default to the conclusion that the acquirer is primary beneficiary of the VIE. The amendments are intended to improve consistency in applying the acquisition method to business combinations. The new guidance is effective for annual reporting periods beginning after December 15, 2026, and interim periods within those annual periods. The Company is currently assessing the impact of ASU 2025-03 on our consolidated financial statements and related disclosures, including the potential impact on the accounting for any future business combinations involving VIEs.</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Intangibles—Goodwill and Other—Internal-Use Software (Subtopic 350-40): Targeted Improvements to the Accounting for Internal-Use Software, which improves the operability of the guidance by removing all references to software development project stages so that the guidance is neutral to different software development methods. The new guidance is effective for annual periods beginning after December 15, 2027, and interim periods within those annual periods. The Company is currently assessing the impact of ASU 2025-06 on our consolidated financial statements and related disclosures.</w:t>
      </w:r>
    </w:p>
    <w:p>
      <w:pPr>
        <w:spacing w:after="0" w:line="14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There are currently no other accounting standards that have been issued, but not yet adopted, that are expected to have a significant impact on the Company’s consolidated financial position, results of operations or statement of cash flows upon adoption.</w:t>
      </w:r>
    </w:p>
    <w:p>
      <w:pPr>
        <w:spacing w:after="0" w:line="117" w:lineRule="exact"/>
        <w:rPr>
          <w:sz w:val="20"/>
          <w:szCs w:val="20"/>
          <w:color w:val="auto"/>
        </w:rPr>
      </w:pPr>
    </w:p>
    <w:p>
      <w:pPr>
        <w:ind w:left="360" w:hanging="352"/>
        <w:spacing w:after="0"/>
        <w:tabs>
          <w:tab w:leader="none" w:pos="3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Software Development, Property and Equipment and Long-Lived Assets</w:t>
      </w:r>
    </w:p>
    <w:p>
      <w:pPr>
        <w:spacing w:after="0" w:line="202"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Software development and property and equipment consist of the following as of September 30, 2026 and December 31, 2025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2680" w:type="dxa"/>
            <w:vAlign w:val="bottom"/>
            <w:vMerge w:val="restart"/>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268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hardware</w:t>
            </w:r>
          </w:p>
        </w:tc>
        <w:tc>
          <w:tcPr>
            <w:tcW w:w="2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 years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10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2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2 - 10 years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software development</w:t>
            </w:r>
          </w:p>
        </w:tc>
        <w:tc>
          <w:tcPr>
            <w:tcW w:w="2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 years</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132,065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Shorter of useful life or lease term</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86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 years</w:t>
            </w: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(58,618)</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(44,937)</w:t>
            </w:r>
          </w:p>
        </w:tc>
        <w:tc>
          <w:tcPr>
            <w:tcW w:w="0" w:type="dxa"/>
            <w:vAlign w:val="bottom"/>
          </w:tcPr>
          <w:p>
            <w:pPr>
              <w:spacing w:after="0"/>
              <w:rPr>
                <w:sz w:val="1"/>
                <w:szCs w:val="1"/>
                <w:color w:val="auto"/>
              </w:rPr>
            </w:pPr>
          </w:p>
        </w:tc>
      </w:tr>
      <w:tr>
        <w:trPr>
          <w:trHeight w:val="210"/>
        </w:trPr>
        <w:tc>
          <w:tcPr>
            <w:tcW w:w="5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Software development and property and equipment, net</w:t>
            </w:r>
          </w:p>
        </w:tc>
        <w:tc>
          <w:tcPr>
            <w:tcW w:w="268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91,788</w:t>
            </w: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60,631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80" w:type="dxa"/>
            <w:vAlign w:val="bottom"/>
            <w:vMerge w:val="restart"/>
          </w:tcPr>
          <w:p>
            <w:pPr>
              <w:jc w:val="right"/>
              <w:ind w:right="2073"/>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0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0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-1293495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-1010920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Depreciation and amortization expense for the three and nine months ended September 30, 2026 and 2025 was as follows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2660" w:type="dxa"/>
            <w:vAlign w:val="bottom"/>
            <w:gridSpan w:val="5"/>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5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1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6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FF0FC"/>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Operations and support</w:t>
            </w:r>
          </w:p>
        </w:tc>
        <w:tc>
          <w:tcPr>
            <w:tcW w:w="7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FF0FC"/>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120" w:type="dxa"/>
            <w:vAlign w:val="bottom"/>
          </w:tcPr>
          <w:p>
            <w:pPr>
              <w:spacing w:after="0"/>
              <w:rPr>
                <w:sz w:val="18"/>
                <w:szCs w:val="18"/>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shd w:val="clear" w:color="auto" w:fill="CFF0FC"/>
          </w:tcPr>
          <w:p>
            <w:pPr>
              <w:spacing w:after="0"/>
              <w:rPr>
                <w:sz w:val="18"/>
                <w:szCs w:val="18"/>
                <w:color w:val="auto"/>
              </w:rPr>
            </w:pP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7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14,471</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11,063</w:t>
            </w:r>
          </w:p>
        </w:tc>
        <w:tc>
          <w:tcPr>
            <w:tcW w:w="12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Disaggregated Revenue and Cost of Revenue Information</w:t>
      </w:r>
    </w:p>
    <w:p>
      <w:pPr>
        <w:spacing w:after="0" w:line="18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revenues disaggregated by line of business. Revenue from our marketplace primarily reflects the sales of parts and assemblies on our platform. Revenue from services includes the sale of digital advertising and marketing services and financial service products.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Revenue and cost of revenue are presented in the following tables for the three and nine months ended September 30, 2026 and 2025, respectively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Marketplace</w:t>
            </w:r>
          </w:p>
        </w:tc>
        <w:tc>
          <w:tcPr>
            <w:tcW w:w="160" w:type="dxa"/>
            <w:vAlign w:val="bottom"/>
          </w:tcPr>
          <w:p>
            <w:pPr>
              <w:spacing w:after="0"/>
              <w:rPr>
                <w:sz w:val="15"/>
                <w:szCs w:val="15"/>
                <w:color w:val="auto"/>
              </w:rPr>
            </w:pPr>
          </w:p>
        </w:tc>
        <w:tc>
          <w:tcPr>
            <w:tcW w:w="2500" w:type="dxa"/>
            <w:vAlign w:val="bottom"/>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5600" w:type="dxa"/>
            <w:vAlign w:val="bottom"/>
            <w:vMerge w:val="continue"/>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238,004</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166,592</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644,691</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451,168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152,306</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107,086</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417,787</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85,698</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59,506</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226,904</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155,277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5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14,435</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14,123</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42,166</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12,523</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37,417</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-762000</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-744855</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-762000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-744855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-762000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-744855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-762000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-24765</wp:posOffset>
            </wp:positionV>
            <wp:extent cx="774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Segments</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Xometry is organized in two segments referred to as: (1) U.S. and (2) International. Xometry’s operating segments are also the Company’s reportable segments. Xometry’s reportable segments are managed separately based on geography. The Company’s U.S. revenues primarily result from the sale of parts and assemblies and the sale of advertising and marketing services. The Company’s International revenues primarily result from the sale of parts and assemblies. Xometry’s two segments are defined based on the reporting and review process used by the CODM, the Chief Executive Officer.</w:t>
      </w:r>
    </w:p>
    <w:p>
      <w:pPr>
        <w:spacing w:after="0" w:line="139"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The Company evaluates the performance of the operating segments primarily based on revenue and segment Adjusted EBITDA. The CODM uses actual results compared to budgeted or forecasted segment Adjusted EBITDA to determine if the reporting units are making progress toward profitability and when making decisions about the allocation of resources and the assessment of performance.</w:t>
      </w:r>
    </w:p>
    <w:p>
      <w:pPr>
        <w:spacing w:after="0" w:line="14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Segment Adjusted EBITDA excludes interest expense, interest and dividend income, other expenses, provision for income taxes, depreciation and amortization, amortization of lease intangible, stock-based compensation, payroll tax expense related to stock-based compensation, charitable contributions of common stock, income from an unconsolidated joint venture, restructuring charges and acquisition and other adjustments not reflective of our ongoing business, such as adjustments related to purchase accounting, the revaluation of contingent consideration, transaction costs and executive severance.</w:t>
      </w:r>
    </w:p>
    <w:p>
      <w:pPr>
        <w:spacing w:after="0" w:line="13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CODM monitors assets of the consolidated Company, but does not use assets, by operating segment when assessing performance or making operating segment resource decisions.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tables reflect certain segment information for the three and nine months ended September 30, 2026 and 2025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6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6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Revenue</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213,392</w:t>
            </w:r>
          </w:p>
        </w:tc>
        <w:tc>
          <w:tcPr>
            <w:tcW w:w="160" w:type="dxa"/>
            <w:vAlign w:val="bottom"/>
          </w:tcPr>
          <w:p>
            <w:pPr>
              <w:spacing w:after="0"/>
              <w:rPr>
                <w:sz w:val="18"/>
                <w:szCs w:val="18"/>
                <w:color w:val="auto"/>
              </w:rPr>
            </w:pP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151,093</w:t>
            </w:r>
          </w:p>
        </w:tc>
        <w:tc>
          <w:tcPr>
            <w:tcW w:w="160" w:type="dxa"/>
            <w:vAlign w:val="bottom"/>
          </w:tcPr>
          <w:p>
            <w:pPr>
              <w:spacing w:after="0"/>
              <w:rPr>
                <w:sz w:val="18"/>
                <w:szCs w:val="18"/>
                <w:color w:val="auto"/>
              </w:rPr>
            </w:pP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580,357</w:t>
            </w:r>
          </w:p>
        </w:tc>
        <w:tc>
          <w:tcPr>
            <w:tcW w:w="160" w:type="dxa"/>
            <w:vAlign w:val="bottom"/>
          </w:tcPr>
          <w:p>
            <w:pPr>
              <w:spacing w:after="0"/>
              <w:rPr>
                <w:sz w:val="18"/>
                <w:szCs w:val="18"/>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39,047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29,622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106,500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79,588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252,439</w:t>
            </w:r>
          </w:p>
        </w:tc>
        <w:tc>
          <w:tcPr>
            <w:tcW w:w="160" w:type="dxa"/>
            <w:vAlign w:val="bottom"/>
          </w:tcPr>
          <w:p>
            <w:pPr>
              <w:spacing w:after="0"/>
              <w:rPr>
                <w:sz w:val="18"/>
                <w:szCs w:val="18"/>
                <w:color w:val="auto"/>
              </w:rPr>
            </w:pP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180,715</w:t>
            </w:r>
          </w:p>
        </w:tc>
        <w:tc>
          <w:tcPr>
            <w:tcW w:w="160" w:type="dxa"/>
            <w:vAlign w:val="bottom"/>
          </w:tcPr>
          <w:p>
            <w:pPr>
              <w:spacing w:after="0"/>
              <w:rPr>
                <w:sz w:val="18"/>
                <w:szCs w:val="18"/>
                <w:color w:val="auto"/>
              </w:rPr>
            </w:pP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686,857</w:t>
            </w:r>
          </w:p>
        </w:tc>
        <w:tc>
          <w:tcPr>
            <w:tcW w:w="160" w:type="dxa"/>
            <w:vAlign w:val="bottom"/>
          </w:tcPr>
          <w:p>
            <w:pPr>
              <w:spacing w:after="0"/>
              <w:rPr>
                <w:sz w:val="18"/>
                <w:szCs w:val="18"/>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Segment Cost of Revenue</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130,596</w:t>
            </w:r>
          </w:p>
        </w:tc>
        <w:tc>
          <w:tcPr>
            <w:tcW w:w="160" w:type="dxa"/>
            <w:vAlign w:val="bottom"/>
          </w:tcPr>
          <w:p>
            <w:pPr>
              <w:spacing w:after="0"/>
              <w:rPr>
                <w:sz w:val="18"/>
                <w:szCs w:val="18"/>
                <w:color w:val="auto"/>
              </w:rPr>
            </w:pP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90,933</w:t>
            </w:r>
          </w:p>
        </w:tc>
        <w:tc>
          <w:tcPr>
            <w:tcW w:w="160" w:type="dxa"/>
            <w:vAlign w:val="bottom"/>
          </w:tcPr>
          <w:p>
            <w:pPr>
              <w:spacing w:after="0"/>
              <w:rPr>
                <w:sz w:val="18"/>
                <w:szCs w:val="18"/>
                <w:color w:val="auto"/>
              </w:rPr>
            </w:pP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357,882</w:t>
            </w:r>
          </w:p>
        </w:tc>
        <w:tc>
          <w:tcPr>
            <w:tcW w:w="160" w:type="dxa"/>
            <w:vAlign w:val="bottom"/>
          </w:tcPr>
          <w:p>
            <w:pPr>
              <w:spacing w:after="0"/>
              <w:rPr>
                <w:sz w:val="18"/>
                <w:szCs w:val="18"/>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23,163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64,654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48,857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153,759</w:t>
            </w:r>
          </w:p>
        </w:tc>
        <w:tc>
          <w:tcPr>
            <w:tcW w:w="160" w:type="dxa"/>
            <w:vAlign w:val="bottom"/>
          </w:tcPr>
          <w:p>
            <w:pPr>
              <w:spacing w:after="0"/>
              <w:rPr>
                <w:sz w:val="18"/>
                <w:szCs w:val="18"/>
                <w:color w:val="auto"/>
              </w:rPr>
            </w:pP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108,686</w:t>
            </w:r>
          </w:p>
        </w:tc>
        <w:tc>
          <w:tcPr>
            <w:tcW w:w="160" w:type="dxa"/>
            <w:vAlign w:val="bottom"/>
          </w:tcPr>
          <w:p>
            <w:pPr>
              <w:spacing w:after="0"/>
              <w:rPr>
                <w:sz w:val="18"/>
                <w:szCs w:val="18"/>
                <w:color w:val="auto"/>
              </w:rPr>
            </w:pP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422,536</w:t>
            </w:r>
          </w:p>
        </w:tc>
        <w:tc>
          <w:tcPr>
            <w:tcW w:w="160" w:type="dxa"/>
            <w:vAlign w:val="bottom"/>
          </w:tcPr>
          <w:p>
            <w:pPr>
              <w:spacing w:after="0"/>
              <w:rPr>
                <w:sz w:val="18"/>
                <w:szCs w:val="18"/>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Segment Adjusted Operating Expense</w:t>
            </w:r>
            <w:r>
              <w:rPr>
                <w:rFonts w:ascii="Times New Roman" w:cs="Times New Roman" w:eastAsia="Times New Roman" w:hAnsi="Times New Roman"/>
                <w:sz w:val="24"/>
                <w:szCs w:val="24"/>
                <w:color w:val="auto"/>
                <w:vertAlign w:val="superscript"/>
              </w:rPr>
              <w:t>(1)</w:t>
            </w: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60,955</w:t>
            </w:r>
          </w:p>
        </w:tc>
        <w:tc>
          <w:tcPr>
            <w:tcW w:w="160" w:type="dxa"/>
            <w:vAlign w:val="bottom"/>
          </w:tcPr>
          <w:p>
            <w:pPr>
              <w:spacing w:after="0"/>
              <w:rPr>
                <w:sz w:val="18"/>
                <w:szCs w:val="18"/>
                <w:color w:val="auto"/>
              </w:rPr>
            </w:pP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49,995</w:t>
            </w:r>
          </w:p>
        </w:tc>
        <w:tc>
          <w:tcPr>
            <w:tcW w:w="160" w:type="dxa"/>
            <w:vAlign w:val="bottom"/>
          </w:tcPr>
          <w:p>
            <w:pPr>
              <w:spacing w:after="0"/>
              <w:rPr>
                <w:sz w:val="18"/>
                <w:szCs w:val="18"/>
                <w:color w:val="auto"/>
              </w:rPr>
            </w:pP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170,244</w:t>
            </w:r>
          </w:p>
        </w:tc>
        <w:tc>
          <w:tcPr>
            <w:tcW w:w="160" w:type="dxa"/>
            <w:vAlign w:val="bottom"/>
          </w:tcPr>
          <w:p>
            <w:pPr>
              <w:spacing w:after="0"/>
              <w:rPr>
                <w:sz w:val="18"/>
                <w:szCs w:val="18"/>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48,565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40,819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77,436</w:t>
            </w:r>
          </w:p>
        </w:tc>
        <w:tc>
          <w:tcPr>
            <w:tcW w:w="160" w:type="dxa"/>
            <w:vAlign w:val="bottom"/>
          </w:tcPr>
          <w:p>
            <w:pPr>
              <w:spacing w:after="0"/>
              <w:rPr>
                <w:sz w:val="18"/>
                <w:szCs w:val="18"/>
                <w:color w:val="auto"/>
              </w:rPr>
            </w:pP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66,071</w:t>
            </w:r>
          </w:p>
        </w:tc>
        <w:tc>
          <w:tcPr>
            <w:tcW w:w="160" w:type="dxa"/>
            <w:vAlign w:val="bottom"/>
          </w:tcPr>
          <w:p>
            <w:pPr>
              <w:spacing w:after="0"/>
              <w:rPr>
                <w:sz w:val="18"/>
                <w:szCs w:val="18"/>
                <w:color w:val="auto"/>
              </w:rPr>
            </w:pP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218,809</w:t>
            </w:r>
          </w:p>
        </w:tc>
        <w:tc>
          <w:tcPr>
            <w:tcW w:w="160" w:type="dxa"/>
            <w:vAlign w:val="bottom"/>
          </w:tcPr>
          <w:p>
            <w:pPr>
              <w:spacing w:after="0"/>
              <w:rPr>
                <w:sz w:val="18"/>
                <w:szCs w:val="18"/>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(2)</w:t>
            </w: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tcPr>
          <w:p>
            <w:pPr>
              <w:spacing w:after="0"/>
              <w:rPr>
                <w:sz w:val="18"/>
                <w:szCs w:val="18"/>
                <w:color w:val="auto"/>
              </w:rPr>
            </w:pP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Pr>
          <w:p>
            <w:pPr>
              <w:spacing w:after="0"/>
              <w:rPr>
                <w:sz w:val="18"/>
                <w:szCs w:val="18"/>
                <w:color w:val="auto"/>
              </w:rPr>
            </w:pP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60" w:type="dxa"/>
            <w:vAlign w:val="bottom"/>
          </w:tcPr>
          <w:p>
            <w:pPr>
              <w:spacing w:after="0"/>
              <w:rPr>
                <w:sz w:val="18"/>
                <w:szCs w:val="18"/>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tcPr>
          <w:p>
            <w:pPr>
              <w:spacing w:after="0"/>
              <w:rPr>
                <w:sz w:val="18"/>
                <w:szCs w:val="18"/>
                <w:color w:val="auto"/>
              </w:rPr>
            </w:pP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Pr>
          <w:p>
            <w:pPr>
              <w:spacing w:after="0"/>
              <w:rPr>
                <w:sz w:val="18"/>
                <w:szCs w:val="18"/>
                <w:color w:val="auto"/>
              </w:rPr>
            </w:pP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60" w:type="dxa"/>
            <w:vAlign w:val="bottom"/>
          </w:tcPr>
          <w:p>
            <w:pPr>
              <w:spacing w:after="0"/>
              <w:rPr>
                <w:sz w:val="18"/>
                <w:szCs w:val="18"/>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22,020</w:t>
            </w:r>
          </w:p>
        </w:tc>
        <w:tc>
          <w:tcPr>
            <w:tcW w:w="160" w:type="dxa"/>
            <w:vAlign w:val="bottom"/>
          </w:tcPr>
          <w:p>
            <w:pPr>
              <w:spacing w:after="0"/>
              <w:rPr>
                <w:sz w:val="18"/>
                <w:szCs w:val="18"/>
                <w:color w:val="auto"/>
              </w:rPr>
            </w:pP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10,349</w:t>
            </w:r>
          </w:p>
        </w:tc>
        <w:tc>
          <w:tcPr>
            <w:tcW w:w="160" w:type="dxa"/>
            <w:vAlign w:val="bottom"/>
          </w:tcPr>
          <w:p>
            <w:pPr>
              <w:spacing w:after="0"/>
              <w:rPr>
                <w:sz w:val="18"/>
                <w:szCs w:val="18"/>
                <w:color w:val="auto"/>
              </w:rPr>
            </w:pP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52,769</w:t>
            </w:r>
          </w:p>
        </w:tc>
        <w:tc>
          <w:tcPr>
            <w:tcW w:w="160" w:type="dxa"/>
            <w:vAlign w:val="bottom"/>
          </w:tcPr>
          <w:p>
            <w:pPr>
              <w:spacing w:after="0"/>
              <w:rPr>
                <w:sz w:val="18"/>
                <w:szCs w:val="18"/>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(4,207)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(6,719)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(10,088)</w:t>
            </w:r>
          </w:p>
        </w:tc>
        <w:tc>
          <w:tcPr>
            <w:tcW w:w="0" w:type="dxa"/>
            <w:vAlign w:val="bottom"/>
          </w:tcPr>
          <w:p>
            <w:pPr>
              <w:spacing w:after="0"/>
              <w:rPr>
                <w:sz w:val="1"/>
                <w:szCs w:val="1"/>
                <w:color w:val="auto"/>
              </w:rPr>
            </w:pPr>
          </w:p>
        </w:tc>
      </w:tr>
      <w:tr>
        <w:trPr>
          <w:trHeight w:val="20"/>
        </w:trPr>
        <w:tc>
          <w:tcPr>
            <w:tcW w:w="49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21,423</w:t>
            </w:r>
          </w:p>
        </w:tc>
        <w:tc>
          <w:tcPr>
            <w:tcW w:w="160" w:type="dxa"/>
            <w:vAlign w:val="bottom"/>
          </w:tcPr>
          <w:p>
            <w:pPr>
              <w:spacing w:after="0"/>
              <w:rPr>
                <w:sz w:val="18"/>
                <w:szCs w:val="18"/>
                <w:color w:val="auto"/>
              </w:rPr>
            </w:pP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160" w:type="dxa"/>
            <w:vAlign w:val="bottom"/>
          </w:tcPr>
          <w:p>
            <w:pPr>
              <w:spacing w:after="0"/>
              <w:rPr>
                <w:sz w:val="18"/>
                <w:szCs w:val="18"/>
                <w:color w:val="auto"/>
              </w:rPr>
            </w:pP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46,050</w:t>
            </w:r>
          </w:p>
        </w:tc>
        <w:tc>
          <w:tcPr>
            <w:tcW w:w="160" w:type="dxa"/>
            <w:vAlign w:val="bottom"/>
          </w:tcPr>
          <w:p>
            <w:pPr>
              <w:spacing w:after="0"/>
              <w:rPr>
                <w:sz w:val="18"/>
                <w:szCs w:val="18"/>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deduct: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interest and dividend income and other expenses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(16,939)</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(6,185)</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(16,952)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(13,741)</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lease intangible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(25,985)</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tax expense related to stock-based compensation</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and other</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Charitable contribution of common stock</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(4,404)</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(2,080)</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(1,464)</w:t>
            </w:r>
          </w:p>
        </w:tc>
        <w:tc>
          <w:tcPr>
            <w:tcW w:w="0" w:type="dxa"/>
            <w:vAlign w:val="bottom"/>
          </w:tcPr>
          <w:p>
            <w:pPr>
              <w:spacing w:after="0"/>
              <w:rPr>
                <w:sz w:val="1"/>
                <w:szCs w:val="1"/>
                <w:color w:val="auto"/>
              </w:rPr>
            </w:pPr>
          </w:p>
        </w:tc>
      </w:tr>
      <w:tr>
        <w:trPr>
          <w:trHeight w:val="228"/>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19"/>
                <w:szCs w:val="19"/>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-3525520</wp:posOffset>
            </wp:positionV>
            <wp:extent cx="713232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-2942590</wp:posOffset>
            </wp:positionV>
            <wp:extent cx="713232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-4279900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-4279900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-4279900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-3696970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-3696970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-3696970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-3696970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-3114040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-3114040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-3114040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-3114040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-2531110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-2531110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-2531110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-2531110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-1948180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-1948180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-1948180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-1948180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25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right="220" w:firstLine="8"/>
        <w:spacing w:after="0" w:line="232" w:lineRule="auto"/>
        <w:tabs>
          <w:tab w:leader="none" w:pos="20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excludes stock-based compensation and the related payroll taxes, depreciation and amortization, restructuring charges, acquisition and other costs, amortization of lease intangible, lease termination and charitable contributions of common stock.</w:t>
      </w:r>
    </w:p>
    <w:p>
      <w:pPr>
        <w:spacing w:after="0" w:line="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Addback to Segment Cost of Revenue to calculate Segment Adjusted EBITDA.</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tables reflect long-lived asset information as of September 30, 2026 and December 31, 2025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Software development and property and equipment, net</w:t>
            </w:r>
          </w:p>
        </w:tc>
        <w:tc>
          <w:tcPr>
            <w:tcW w:w="2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3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78,817</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9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12,971</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91,788</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Operating lease right-of-use assets</w:t>
            </w:r>
          </w:p>
        </w:tc>
        <w:tc>
          <w:tcPr>
            <w:tcW w:w="2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3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9,108</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9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13,142</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90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10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10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-1731010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-1731010</wp:posOffset>
            </wp:positionV>
            <wp:extent cx="774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-1010920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-1010920</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1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(6)</w:t>
        <w:tab/>
        <w:t>Stock-Based Compensation</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2016, the Company adopted a stock compensation plan (the “2016 Equity Incentive Plan”) pursuant to which the Company may grant stock options, stock purchase rights, restricted stock awards, or stock awards to employees, directors and consultants (including prospective employees, directors, and consultants). No additional awards may be granted under the 2016 Equity Incentive Plan; however, outstanding awards continue in full effect in accordance with their existing terms.</w:t>
      </w:r>
    </w:p>
    <w:p>
      <w:pPr>
        <w:spacing w:after="0" w:line="15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connection with the Company’s initial public offering on July 2, 2021, the Company’s board of directors adopted the 2021 Equity Incentive Plan (the “2021 Equity Incentive Plan”). The 2021 Equity Incentive Plan provides for the grant of incentive stock options (“ISOs”), non-statutory stock options, stock appreciation rights, restricted stock awards, restricted stock unit awards, performance-based awards and other awards, or collectively, awards. Awards may be granted to Xometry employees, Xometry’s non-employee directors and consultants/contractors and the employees and consultants/contractors of Xometry affiliates. ISOs may be granted only to Xometry employees and the employees of Xometry affiliates.</w:t>
      </w:r>
    </w:p>
    <w:p>
      <w:pPr>
        <w:spacing w:after="0" w:line="143" w:lineRule="exact"/>
        <w:rPr>
          <w:sz w:val="20"/>
          <w:szCs w:val="20"/>
          <w:color w:val="auto"/>
        </w:rPr>
      </w:pPr>
    </w:p>
    <w:p>
      <w:pPr>
        <w:ind w:left="380" w:right="1540"/>
        <w:spacing w:after="0" w:line="461" w:lineRule="auto"/>
        <w:rPr>
          <w:sz w:val="20"/>
          <w:szCs w:val="20"/>
          <w:color w:val="auto"/>
        </w:rPr>
      </w:pPr>
      <w:r>
        <w:rPr>
          <w:rFonts w:ascii="Times New Roman" w:cs="Times New Roman" w:eastAsia="Times New Roman" w:hAnsi="Times New Roman"/>
          <w:sz w:val="18"/>
          <w:szCs w:val="18"/>
          <w:color w:val="auto"/>
        </w:rPr>
        <w:t xml:space="preserve">As of September 30, 2026, there were 8,648,345 shares available for the Company to grant under the 2021 Equity Incentive Plan. </w:t>
      </w:r>
      <w:r>
        <w:rPr>
          <w:rFonts w:ascii="Times New Roman" w:cs="Times New Roman" w:eastAsia="Times New Roman" w:hAnsi="Times New Roman"/>
          <w:sz w:val="18"/>
          <w:szCs w:val="18"/>
          <w:b w:val="1"/>
          <w:bCs w:val="1"/>
          <w:color w:val="auto"/>
        </w:rPr>
        <w:t>Stock Options</w:t>
      </w:r>
    </w:p>
    <w:p>
      <w:pPr>
        <w:spacing w:after="0" w:line="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stock option activity and the changes during the nine months ended September 30, 2026, are as follows (in millions, except share and per share amounts):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4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13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1,388,764</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1,479,226</w:t>
            </w:r>
          </w:p>
        </w:tc>
        <w:tc>
          <w:tcPr>
            <w:tcW w:w="16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(549,659)</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(24,283)</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905,284</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5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Exercisable at September 30, 2026</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891,956</w:t>
            </w:r>
          </w:p>
        </w:tc>
        <w:tc>
          <w:tcPr>
            <w:tcW w:w="16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-173990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-156845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-319405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 options were granted during the nine months ended September 30, 2026.</w:t>
      </w:r>
    </w:p>
    <w:p>
      <w:pPr>
        <w:spacing w:after="0" w:line="19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At September 30, 2026, there was approximately $0.1 million of total unrecognized compensation cost related to unvested stock options. That cost is expected to be recognized over a weighted average period of approximately 4 months as of September 30, 2026.</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currently uses authorized and unissued shares to satisfy share award exercises.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RSUs</w:t>
      </w:r>
    </w:p>
    <w:p>
      <w:pPr>
        <w:spacing w:after="0" w:line="20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RSU activity and the changes during the nine months ended September 30, 2026 are as follows (in millions, except share and per share amounts):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7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6160" w:type="dxa"/>
            <w:vAlign w:val="bottom"/>
          </w:tcPr>
          <w:p>
            <w:pPr>
              <w:spacing w:after="0"/>
              <w:rPr>
                <w:sz w:val="15"/>
                <w:szCs w:val="15"/>
                <w:color w:val="auto"/>
              </w:rPr>
            </w:pPr>
          </w:p>
        </w:tc>
        <w:tc>
          <w:tcPr>
            <w:tcW w:w="15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 as of December 31, 2025</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2,912,677</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1,322,984</w:t>
            </w:r>
          </w:p>
        </w:tc>
        <w:tc>
          <w:tcPr>
            <w:tcW w:w="180" w:type="dxa"/>
            <w:vAlign w:val="bottom"/>
          </w:tcPr>
          <w:p>
            <w:pPr>
              <w:spacing w:after="0"/>
              <w:rPr>
                <w:sz w:val="18"/>
                <w:szCs w:val="18"/>
                <w:color w:val="auto"/>
              </w:rPr>
            </w:pPr>
          </w:p>
        </w:tc>
        <w:tc>
          <w:tcPr>
            <w:tcW w:w="3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(1,122,034)</w:t>
            </w:r>
          </w:p>
        </w:tc>
        <w:tc>
          <w:tcPr>
            <w:tcW w:w="3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Forfeited and cancelled</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(357,954)</w:t>
            </w:r>
          </w:p>
        </w:tc>
        <w:tc>
          <w:tcPr>
            <w:tcW w:w="3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 as of September 30, 2026</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2,755,673</w:t>
            </w: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5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-24765</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774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At September 30, 2026, there was approximately $87.1 million of total unrecognized compensation cost related to unvested restricted stock units granted under the 2021 Equity Incentive Plan. That cost is expected to be recognized over a weighted average period of approximately 2.9 years as of September 30, 2026.</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PRSUs</w:t>
      </w:r>
    </w:p>
    <w:p>
      <w:pPr>
        <w:spacing w:after="0" w:line="189" w:lineRule="exact"/>
        <w:rPr>
          <w:sz w:val="20"/>
          <w:szCs w:val="20"/>
          <w:color w:val="auto"/>
        </w:rPr>
      </w:pPr>
    </w:p>
    <w:p>
      <w:pPr>
        <w:ind w:right="520" w:firstLine="374"/>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PRSU activity and the changes during the nine months ended September 30, 2026 are as follows (in millions, except share and per share amounts):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7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6160" w:type="dxa"/>
            <w:vAlign w:val="bottom"/>
          </w:tcPr>
          <w:p>
            <w:pPr>
              <w:spacing w:after="0"/>
              <w:rPr>
                <w:sz w:val="15"/>
                <w:szCs w:val="15"/>
                <w:color w:val="auto"/>
              </w:rPr>
            </w:pPr>
          </w:p>
        </w:tc>
        <w:tc>
          <w:tcPr>
            <w:tcW w:w="15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PRSUs as of December 31, 2025</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468,715</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319,891</w:t>
            </w:r>
          </w:p>
        </w:tc>
        <w:tc>
          <w:tcPr>
            <w:tcW w:w="180" w:type="dxa"/>
            <w:vAlign w:val="bottom"/>
          </w:tcPr>
          <w:p>
            <w:pPr>
              <w:spacing w:after="0"/>
              <w:rPr>
                <w:sz w:val="18"/>
                <w:szCs w:val="18"/>
                <w:color w:val="auto"/>
              </w:rPr>
            </w:pPr>
          </w:p>
        </w:tc>
        <w:tc>
          <w:tcPr>
            <w:tcW w:w="3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(218,180)</w:t>
            </w:r>
          </w:p>
        </w:tc>
        <w:tc>
          <w:tcPr>
            <w:tcW w:w="3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Forfeited and cancelled</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(43,884)</w:t>
            </w:r>
          </w:p>
        </w:tc>
        <w:tc>
          <w:tcPr>
            <w:tcW w:w="3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PRSUs as of September 30, 2026</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526,542</w:t>
            </w: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5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-24765</wp:posOffset>
            </wp:positionV>
            <wp:extent cx="774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At September 30, 2026, there was approximately $19.8 million of total unrecognized compensation cost related to unvested performance restricted stock units granted under the 2021 Equity Incentive Plan. That cost is expected to be recognized over a weighted average period of approximately 2.1 years as of September 30, 2026.</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stock-based compensation cost for the three and nine months ended September 30, 2026 and 2025 were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0" w:type="dxa"/>
            <w:vAlign w:val="bottom"/>
            <w:gridSpan w:val="5"/>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7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8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10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Operations and support</w:t>
            </w: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10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10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13,300</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00" w:type="dxa"/>
            <w:vAlign w:val="bottom"/>
          </w:tcPr>
          <w:p>
            <w:pPr>
              <w:spacing w:after="0"/>
              <w:rPr>
                <w:sz w:val="18"/>
                <w:szCs w:val="18"/>
                <w:color w:val="auto"/>
              </w:rPr>
            </w:pPr>
          </w:p>
        </w:tc>
      </w:tr>
      <w:tr>
        <w:trPr>
          <w:trHeight w:val="23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 compensation expense</w:t>
            </w:r>
          </w:p>
        </w:tc>
        <w:tc>
          <w:tcPr>
            <w:tcW w:w="208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11,288</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10,748</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30,961</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25,985</w:t>
            </w:r>
          </w:p>
        </w:tc>
        <w:tc>
          <w:tcPr>
            <w:tcW w:w="100" w:type="dxa"/>
            <w:vAlign w:val="bottom"/>
            <w:shd w:val="clear" w:color="auto" w:fill="CFF0FC"/>
          </w:tcPr>
          <w:p>
            <w:pPr>
              <w:spacing w:after="0"/>
              <w:rPr>
                <w:sz w:val="19"/>
                <w:szCs w:val="19"/>
                <w:color w:val="auto"/>
              </w:rPr>
            </w:pP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-24765</wp:posOffset>
            </wp:positionV>
            <wp:extent cx="774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-8255</wp:posOffset>
            </wp:positionV>
            <wp:extent cx="774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20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provides for two classes of common stock: Class A common stock and Class B common stock. The Company’s authorized capital stock consists of 805 million shares, all with a par value of $0.000001 per share, of which:</w:t>
      </w:r>
    </w:p>
    <w:p>
      <w:pPr>
        <w:spacing w:after="0" w:line="121" w:lineRule="exact"/>
        <w:rPr>
          <w:sz w:val="20"/>
          <w:szCs w:val="20"/>
          <w:color w:val="auto"/>
        </w:rPr>
      </w:pPr>
    </w:p>
    <w:p>
      <w:pPr>
        <w:ind w:left="600" w:hanging="218"/>
        <w:spacing w:after="0"/>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750,000,000 shares are designated Class A common stock;</w:t>
      </w:r>
    </w:p>
    <w:p>
      <w:pPr>
        <w:spacing w:after="0" w:line="117" w:lineRule="exact"/>
        <w:rPr>
          <w:rFonts w:ascii="Times New Roman" w:cs="Times New Roman" w:eastAsia="Times New Roman" w:hAnsi="Times New Roman"/>
          <w:sz w:val="18"/>
          <w:szCs w:val="18"/>
          <w:color w:val="auto"/>
        </w:rPr>
      </w:pPr>
    </w:p>
    <w:p>
      <w:pPr>
        <w:ind w:left="600" w:hanging="218"/>
        <w:spacing w:after="0"/>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shares are designated Class B common stock; and</w:t>
      </w:r>
    </w:p>
    <w:p>
      <w:pPr>
        <w:spacing w:after="0" w:line="117" w:lineRule="exact"/>
        <w:rPr>
          <w:rFonts w:ascii="Times New Roman" w:cs="Times New Roman" w:eastAsia="Times New Roman" w:hAnsi="Times New Roman"/>
          <w:sz w:val="18"/>
          <w:szCs w:val="18"/>
          <w:color w:val="auto"/>
        </w:rPr>
      </w:pPr>
    </w:p>
    <w:p>
      <w:pPr>
        <w:ind w:left="600" w:hanging="218"/>
        <w:spacing w:after="0"/>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 shares are designated preferred stock.</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Except as otherwise expressly provided in the Company’s amended and restated certificate of incorporation or required by applicable law, shares of Class A common stock and Class B common stock have the same rights and privileges and rank equally, share ratably and are identical in all respects, including but not limited to dividends and distributions, liquidation rights, change of control transactions, subdivisions and combinations, no preemptive or similar rights, and conversion. Class B common stock may be converted to Class A common stock, at any time or from time to time as provided for in the certificate of incorporation.</w:t>
      </w:r>
    </w:p>
    <w:p>
      <w:pPr>
        <w:spacing w:after="0" w:line="156"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Holders of our Class A common stock are entitled to one vote per share on any matter that is submitted to a vote of our stockholders. Holders of our Class B common stock are entitled to 20 votes per share on any matter submitted to a vote of our stockholders.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Siemens Common Stock Issuance</w:t>
      </w:r>
    </w:p>
    <w:p>
      <w:pPr>
        <w:spacing w:after="0" w:line="18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On May 6, 2026, the Company entered into an agreement (the “Siemens ISW Agreement”) with Siemens Industry Software Inc. (“Siemens ISW”) to integrate Xometry marketplace capabilities directly into the Siemens ISW industrial software ecosystem. Under the terms of the agreement, Xometry will develop the necessary software (“Software Deliverable”) with support from Siemens ISW, and then provide the Software Deliverable to Siemens ISW at no cost through an original equipment manufacturer agreement (the “OEM Agreement”). Certain exclusivity terms apply for a period of up to seven years from the Siemens ISW Agreement’s effective date. Based on the planned collaboration timeline, exclusivity terms will apply for five years subsequent to the completion of the Software Deliverable.</w:t>
      </w:r>
    </w:p>
    <w:p>
      <w:pPr>
        <w:spacing w:after="0" w:line="16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OEM Agreement will have a base term of five years and renew for successive 1-year terms unless cancelled by either party. Each party is responsible for its own costs during the software development and commercialization phases. In connection with the Siemens ISW Agreement, the Company and Siemens Beteiligungen Inland GmbH, an affiliate of Siemens ISW (“SBI GmbH”), entered into a stock purchase agreement pursuant to which SBI GmbH purchased 1,049,759 shares of our Class A common stock for approximately $50 million.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Common Stock Issuance</w:t>
      </w:r>
    </w:p>
    <w:p>
      <w:pPr>
        <w:spacing w:after="0" w:line="18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On June 1, 2026, the Company entered into an underwriting agreement with J.P. Morgan Securities LLC and Goldman Sachs &amp; Co. LLC, as representatives of the several underwriters named therein (collectively, the “Underwriters”), to issue and sell 2,647,059 shares of its Class A common stock at a public offering price of $85.00 per share, less underwriting discounts and commissions, pursuant to an effective shelf registration statement on Form S-3 previously filed with the SEC (the “2026 Common Stock Issuance”). The initial closing of the 2026 Common Stock Issuance occurred on June 3, 2026. In addition, the Company granted the Underwriters an option to purchase, for a period of up to 30 days, up to an additional 397,058 shares of its Class A common stock, which the Underwriters exercised in full on June 22, 2026.</w:t>
      </w:r>
    </w:p>
    <w:p>
      <w:pPr>
        <w:spacing w:after="0" w:line="16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connection with the 2026 Common Stock Issuance, the Company incurred total issuance costs of approximately $11.1 million, consisting of underwriting discounts and commissions of approximately $10.3 million and other direct issuance costs of approximately $0.8 million, including legal, accounting and filing fees. All direct issuance costs have been recorded as a reduction of the gross proceeds and recorded to Additional paid-in capital. After deducting total issuance costs, the Company received net proceeds of approximately $247.6 million.</w:t>
      </w:r>
    </w:p>
    <w:p>
      <w:pPr>
        <w:spacing w:after="0" w:line="13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Company intends to use the net proceeds from the 2026 Common Stock Issuance for working capital and general corporate purposes, including, but not limited to, general and administrative matters, repayment of debt, capital expenditures and acquisitions of other businesses or assets.</w:t>
      </w:r>
    </w:p>
    <w:p>
      <w:pPr>
        <w:spacing w:after="0" w:line="11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Income Taxes</w:t>
      </w:r>
    </w:p>
    <w:p>
      <w:pPr>
        <w:spacing w:after="0" w:line="20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 full valuation allowance has been established against our net U.S. federal and state deferred tax assets and foreign deferred tax assets, including net operating loss carryforwards.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had $0.7 million of income tax provision for the three months ended September 30, 2026 and $1.3 million of income tax provision for the nine months ended September 30, 2026 as compared to less than $(0.1) million of (benefit) for the same periods in 2025. This estimated annual effective tax rate of (17.8)% differs from the U.S. federal statutory rate primarily due to the effects of certain permanent items, foreign tax rate differences, and increases in the valuation allowance against deferred tax assets.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9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(9)</w:t>
        <w:tab/>
        <w:t>Net Income (Loss) Per Share Attributable to Common Stockholders</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computes net income (loss) per share of Class A common stock, Class B common stock and participating securities using the two-class method. Basic and diluted net income (loss) per share are the same for each class of common stock and participating securities because they are entitled to the same liquidation and dividend rights. The following table sets forth the computation of basic and diluted net income (loss) per share attributable to common stockholders (in thousands, except share and per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8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266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5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(11,597)</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(8,638)</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(53,110)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(11,597)</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(8,645)</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(53,109)</w:t>
            </w:r>
          </w:p>
        </w:tc>
        <w:tc>
          <w:tcPr>
            <w:tcW w:w="0" w:type="dxa"/>
            <w:vAlign w:val="bottom"/>
          </w:tcPr>
          <w:p>
            <w:pPr>
              <w:spacing w:after="0"/>
              <w:rPr>
                <w:sz w:val="1"/>
                <w:szCs w:val="1"/>
                <w:color w:val="auto"/>
              </w:rPr>
            </w:pPr>
          </w:p>
        </w:tc>
      </w:tr>
      <w:tr>
        <w:trPr>
          <w:trHeight w:val="197"/>
        </w:trPr>
        <w:tc>
          <w:tcPr>
            <w:tcW w:w="53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outstanding used to compute net</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per share attributable to common stockholders, basic</w:t>
            </w: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57,333,901</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50,920,588</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54,508,819</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50,653,997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based awards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3,108,687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Shares reserved for charitable contribution</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20,131</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532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Weighted-average number of shares outstanding used to compute net</w:t>
            </w: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60,462,719</w:t>
            </w:r>
          </w:p>
        </w:tc>
        <w:tc>
          <w:tcPr>
            <w:tcW w:w="260" w:type="dxa"/>
            <w:vAlign w:val="bottom"/>
            <w:tcBorders>
              <w:top w:val="single" w:sz="8" w:color="CFF0FC"/>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50,920,588</w:t>
            </w:r>
          </w:p>
        </w:tc>
        <w:tc>
          <w:tcPr>
            <w:tcW w:w="24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54,508,819</w:t>
            </w:r>
          </w:p>
        </w:tc>
        <w:tc>
          <w:tcPr>
            <w:tcW w:w="14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50,653,997</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income (loss) per share attributable to common stockholders, diluted</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basic</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(0.16)</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diluted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(0.16)</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-1885315</wp:posOffset>
            </wp:positionV>
            <wp:extent cx="774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-1868170</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-1885315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-1868170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-1885315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-1868170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-899795</wp:posOffset>
            </wp:positionV>
            <wp:extent cx="77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-899795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-899795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-479425</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-479425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-479425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-170815</wp:posOffset>
            </wp:positionV>
            <wp:extent cx="774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-170815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2026, diluted net income per share includes the dilutive effect of stock options, RSUs, PRSUs and shares reserved for charitable contribution, determined using the treasury stock method. The 2027 Convertible Notes and 2030 Convertible Notes are evaluated using the if-converted method. For the three months ended September 30, 2026, the Convertible Notes were antidilutive and excluded. For the nine months ended September 30, 2026 and 2025, the Company reported a net loss, and all potentially dilutive securities were excluded from diluted net loss per share because their effect would be antidilutive.</w:t>
      </w:r>
    </w:p>
    <w:p>
      <w:pPr>
        <w:spacing w:after="0" w:line="14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income (loss) per share because including them would have had an anti-dilutive effect, or issuance of such shares is contingent upon the occurrence of an event: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2880" w:type="dxa"/>
            <w:vAlign w:val="bottom"/>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306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100" w:type="dxa"/>
            <w:vAlign w:val="bottom"/>
          </w:tcPr>
          <w:p>
            <w:pPr>
              <w:spacing w:after="0"/>
              <w:rPr>
                <w:sz w:val="12"/>
                <w:szCs w:val="12"/>
                <w:color w:val="auto"/>
              </w:rPr>
            </w:pPr>
          </w:p>
        </w:tc>
        <w:tc>
          <w:tcPr>
            <w:tcW w:w="132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340" w:type="dxa"/>
            <w:vAlign w:val="bottom"/>
            <w:tcBorders>
              <w:top w:val="single" w:sz="8" w:color="auto"/>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based awards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5,063,656</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4,187,499</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5,063,656</w:t>
            </w:r>
          </w:p>
        </w:tc>
        <w:tc>
          <w:tcPr>
            <w:tcW w:w="12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charitable contribution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100,663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20,131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100,663</w:t>
            </w:r>
          </w:p>
        </w:tc>
        <w:tc>
          <w:tcPr>
            <w:tcW w:w="120" w:type="dxa"/>
            <w:vAlign w:val="bottom"/>
          </w:tcPr>
          <w:p>
            <w:pPr>
              <w:spacing w:after="0"/>
              <w:rPr>
                <w:sz w:val="18"/>
                <w:szCs w:val="18"/>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 Notes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1,528,009</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1,529,157</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1,528,770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1,529,157</w:t>
            </w:r>
          </w:p>
        </w:tc>
        <w:tc>
          <w:tcPr>
            <w:tcW w:w="12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2030 Notes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5,312,375</w:t>
            </w:r>
          </w:p>
        </w:tc>
        <w:tc>
          <w:tcPr>
            <w:tcW w:w="2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5,312,375</w:t>
            </w:r>
          </w:p>
        </w:tc>
        <w:tc>
          <w:tcPr>
            <w:tcW w:w="2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5,312,375</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5,312,375</w:t>
            </w:r>
          </w:p>
        </w:tc>
        <w:tc>
          <w:tcPr>
            <w:tcW w:w="120" w:type="dxa"/>
            <w:vAlign w:val="bottom"/>
          </w:tcPr>
          <w:p>
            <w:pPr>
              <w:spacing w:after="0"/>
              <w:rPr>
                <w:sz w:val="18"/>
                <w:szCs w:val="18"/>
                <w:color w:val="auto"/>
              </w:rPr>
            </w:pPr>
          </w:p>
        </w:tc>
      </w:tr>
      <w:tr>
        <w:trPr>
          <w:trHeight w:val="250"/>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shares</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6,843,170</w:t>
            </w:r>
          </w:p>
        </w:tc>
        <w:tc>
          <w:tcPr>
            <w:tcW w:w="2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12,005,851</w:t>
            </w:r>
          </w:p>
        </w:tc>
        <w:tc>
          <w:tcPr>
            <w:tcW w:w="20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11,048,775</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12,005,851</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-24765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2030 Convertible Notes</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June 2025, we issued $250.0 million aggregate principal amount of 0.75% convertible senior notes due in 2030 (the “2030 Notes”), including the exercise in full of the initial purchasers’ option to purchase up to an additional $25.0 million principal amount of the 2030 Notes, pursuant to an indenture dated June 12, 2025. The 2030 Notes were sold in a private offering to qualified institutional</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buyers pursuant to Rule 144A under the Securities Act. The net proceeds from the issuance of the 2030 Notes were $241.4 million, net of debt issuance costs. The debt issuance costs are amortized to interest expense using the effective interest rate method.</w:t>
      </w:r>
    </w:p>
    <w:p>
      <w:pPr>
        <w:spacing w:after="0" w:line="13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2030 Notes are general unsecured obligations and bear regular interest at 0.75% per annum, payable semiannually in arrears on June 15 and December 15 of each year, beginning on December 15, 2025. The 2030 Notes will mature on June 15, 2030, unless earlier repurchased, redeemed, or converted in accordance with their terms prior to such date.</w:t>
      </w:r>
    </w:p>
    <w:p>
      <w:pPr>
        <w:spacing w:after="0" w:line="13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2030 Notes are convertible into cash, shares of our Class A common stock, or a combination of cash and shares of our Class A common stock, at our election, at an initial conversion rate of 21.2495 shares of Class A common stock per $1,000 principal amount of 2030 Notes, which is equivalent to an initial conversion price of approximately $47.06 per share of our Class A common stock. The conversion rate is subject to customary adjustments for certain events as described in the indenture governing the 2030 Notes. In addition, following certain corporate events that occur prior to the maturity date of the 2030 Notes or if we deliver a notice of redemption in respect of the 2030 Notes, we will, under certain circumstances, increase the conversion rate of the 2030 Notes for a holder who elects to convert its 2030 Notes in connection with such a corporate event or convert its 2030 Notes called (or deemed called) for redemption in connection with such notice of redemption, as the case may be.</w:t>
      </w:r>
    </w:p>
    <w:p>
      <w:pPr>
        <w:spacing w:after="0" w:line="14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may redeem for cash all or any portion of the 2030 Notes, at our option, on or after June 20, 2028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2030 Notes to be redeemed, plus accrued and unpaid interest, if any, to, but excluding, the redemption date.</w:t>
      </w:r>
    </w:p>
    <w:p>
      <w:pPr>
        <w:spacing w:after="0" w:line="15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Holders of the 2030 Notes may convert all or a portion of their 2030 Notes at their option prior to the close of business on the business day immediately preceding March 15, 2030, in multiples of $1,000 principal amounts, only under the following circumstances:</w:t>
      </w:r>
    </w:p>
    <w:p>
      <w:pPr>
        <w:spacing w:after="0" w:line="121" w:lineRule="exact"/>
        <w:rPr>
          <w:sz w:val="20"/>
          <w:szCs w:val="20"/>
          <w:color w:val="auto"/>
        </w:rPr>
      </w:pPr>
    </w:p>
    <w:p>
      <w:pPr>
        <w:jc w:val="both"/>
        <w:ind w:left="600" w:hanging="218"/>
        <w:spacing w:after="0" w:line="266" w:lineRule="auto"/>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2030 Notes on each such trading day (the “2030 Sale Price Trigger”);</w:t>
      </w:r>
    </w:p>
    <w:p>
      <w:pPr>
        <w:spacing w:after="0" w:line="67" w:lineRule="exact"/>
        <w:rPr>
          <w:rFonts w:ascii="Times New Roman" w:cs="Times New Roman" w:eastAsia="Times New Roman" w:hAnsi="Times New Roman"/>
          <w:sz w:val="18"/>
          <w:szCs w:val="18"/>
          <w:color w:val="auto"/>
        </w:rPr>
      </w:pPr>
    </w:p>
    <w:p>
      <w:pPr>
        <w:jc w:val="both"/>
        <w:ind w:left="600" w:hanging="218"/>
        <w:spacing w:after="0" w:line="266" w:lineRule="auto"/>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ten consecutive trading day period in which the trading price per $1,000 principal amount of the 2030 Notes for each day of such ten consecutive trading day period was less than 98% of the product of the last reported sale price of our Class A common stock and the applicable conversion rate of the 2030 Notes;</w:t>
      </w:r>
    </w:p>
    <w:p>
      <w:pPr>
        <w:spacing w:after="0" w:line="67" w:lineRule="exact"/>
        <w:rPr>
          <w:rFonts w:ascii="Times New Roman" w:cs="Times New Roman" w:eastAsia="Times New Roman" w:hAnsi="Times New Roman"/>
          <w:sz w:val="18"/>
          <w:szCs w:val="18"/>
          <w:color w:val="auto"/>
        </w:rPr>
      </w:pPr>
    </w:p>
    <w:p>
      <w:pPr>
        <w:jc w:val="both"/>
        <w:ind w:left="600" w:hanging="218"/>
        <w:spacing w:after="0" w:line="266" w:lineRule="auto"/>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notice of redemption, at any time prior to the close of business on the second scheduled trading day immediately preceding the redemption date, in which case we may be required to increase the conversion rate for the 2030 Notes so surrendered for conversion in connection with such redemption notice; or</w:t>
      </w:r>
    </w:p>
    <w:p>
      <w:pPr>
        <w:spacing w:after="0" w:line="67" w:lineRule="exact"/>
        <w:rPr>
          <w:rFonts w:ascii="Times New Roman" w:cs="Times New Roman" w:eastAsia="Times New Roman" w:hAnsi="Times New Roman"/>
          <w:sz w:val="18"/>
          <w:szCs w:val="18"/>
          <w:color w:val="auto"/>
        </w:rPr>
      </w:pPr>
    </w:p>
    <w:p>
      <w:pPr>
        <w:ind w:left="600" w:hanging="218"/>
        <w:spacing w:after="0"/>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occurrence of specified corporate events.</w:t>
      </w:r>
    </w:p>
    <w:p>
      <w:pPr>
        <w:spacing w:after="0" w:line="18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On or after March 15, 2030, the 2030 Notes are convertible at any time until the close of business on the second scheduled trading day immediately preceding the maturity date.</w:t>
      </w:r>
    </w:p>
    <w:p>
      <w:pPr>
        <w:spacing w:after="0" w:line="135"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In the event of a fundamental change (as defined in the indenture governing the 2030 Notes), subject to certain conditions and limited exceptions, holders of the 2030 Notes may require us to repurchase for cash all or a portion of the 2030 Notes at a price equal to 100% of the principal amount of the 2030 Notes to be repurchased, plus accrued and unpaid interest, if any, to, but excluding, the fundamental change repurchase date.</w:t>
      </w:r>
    </w:p>
    <w:p>
      <w:pPr>
        <w:spacing w:after="0" w:line="13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accounted for the issuance of the 2030 Notes as a single liability measured at its amortized cost, as no embedded features require bifurcation and recognition as derivatives.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the 2030 Sale Price Trigger was met and as a result holders may convert their 2030 Notes at any time during the three months ending December 31,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2027 Convertible Notes</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February 2022, we issued $287.5 million aggregate principal amount of 1.00% convertible senior notes due in 2027 (the “2027 Notes” and collectively with the 2030 Notes, the “Convertible Notes”) pursuant to an indenture dated February 4, 2022. The 2027 Notes were sold in a private offering to qualified institutional buyers pursuant to Rule 144A under the Securities Act. The net proceeds from the issuance of the 2027 Notes were $278.2 million, net of debt issuance costs. The debt issuance costs are amortized to interest expense using the effective interest rate method.</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2027 Notes are unsecured obligations and bear regular interest at 1% per annum, payable on February 1 and August 1 of each year. The 2027 Notes will mature on February 1, 2027 unless repurchased, redeemed, or converted in accordance with their terms prior to such date.</w:t>
      </w:r>
    </w:p>
    <w:p>
      <w:pPr>
        <w:spacing w:after="0" w:line="13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 In addition, following certain corporate events that occur prior to the maturity date of the 2027 Notes or if we deliver a notice of redemption in respect of the 2027 Notes, we will, under certain circumstances, increase the conversion rate of the 2027 Notes for a holder who elects to convert its 2027 Notes in connection with such a corporate event or convert its 2027 Notes called (or deemed called) for redemption in connection with such notice of redemption, as the case may be.</w:t>
      </w:r>
    </w:p>
    <w:p>
      <w:pPr>
        <w:spacing w:after="0" w:line="14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may redeem for cash all or any portion of the 2027 Notes, at our option,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2027 Notes to be redeemed, plus accrued and unpaid interest.</w:t>
      </w:r>
    </w:p>
    <w:p>
      <w:pPr>
        <w:spacing w:after="0" w:line="13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Holders of the 2027 Notes may convert all or a portion of their 2027 Notes at their option prior to November 1, 2026, in multiples of $1,000 principal amounts, only under the following circumstances:</w:t>
      </w:r>
    </w:p>
    <w:p>
      <w:pPr>
        <w:spacing w:after="0" w:line="135" w:lineRule="exact"/>
        <w:rPr>
          <w:sz w:val="20"/>
          <w:szCs w:val="20"/>
          <w:color w:val="auto"/>
        </w:rPr>
      </w:pPr>
    </w:p>
    <w:p>
      <w:pPr>
        <w:jc w:val="both"/>
        <w:ind w:left="600" w:hanging="218"/>
        <w:spacing w:after="0" w:line="266" w:lineRule="auto"/>
        <w:tabs>
          <w:tab w:leader="none" w:pos="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2027 Notes on each such trading day (the “2027 Sale Price Trigger”);</w:t>
      </w:r>
    </w:p>
    <w:p>
      <w:pPr>
        <w:spacing w:after="0" w:line="67" w:lineRule="exact"/>
        <w:rPr>
          <w:rFonts w:ascii="Times New Roman" w:cs="Times New Roman" w:eastAsia="Times New Roman" w:hAnsi="Times New Roman"/>
          <w:sz w:val="18"/>
          <w:szCs w:val="18"/>
          <w:color w:val="auto"/>
        </w:rPr>
      </w:pPr>
    </w:p>
    <w:p>
      <w:pPr>
        <w:jc w:val="both"/>
        <w:ind w:left="600" w:right="20" w:hanging="218"/>
        <w:spacing w:after="0" w:line="266" w:lineRule="auto"/>
        <w:tabs>
          <w:tab w:leader="none" w:pos="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ten consecutive trading day period in which the trading price per $1,000 principal amount of the 2027 Notes for each day of that ten consecutive trading day period was less than 98% of the product of the last reported sale price of our Class A common stock and the applicable conversion rate of the 2027 Notes;</w:t>
      </w:r>
    </w:p>
    <w:p>
      <w:pPr>
        <w:spacing w:after="0" w:line="67" w:lineRule="exact"/>
        <w:rPr>
          <w:rFonts w:ascii="Times New Roman" w:cs="Times New Roman" w:eastAsia="Times New Roman" w:hAnsi="Times New Roman"/>
          <w:sz w:val="18"/>
          <w:szCs w:val="18"/>
          <w:color w:val="auto"/>
        </w:rPr>
      </w:pPr>
    </w:p>
    <w:p>
      <w:pPr>
        <w:jc w:val="both"/>
        <w:ind w:left="600" w:hanging="218"/>
        <w:spacing w:after="0" w:line="266" w:lineRule="auto"/>
        <w:tabs>
          <w:tab w:leader="none" w:pos="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spacing w:after="0" w:line="67" w:lineRule="exact"/>
        <w:rPr>
          <w:rFonts w:ascii="Times New Roman" w:cs="Times New Roman" w:eastAsia="Times New Roman" w:hAnsi="Times New Roman"/>
          <w:sz w:val="18"/>
          <w:szCs w:val="18"/>
          <w:color w:val="auto"/>
        </w:rPr>
      </w:pPr>
    </w:p>
    <w:p>
      <w:pPr>
        <w:ind w:left="600" w:hanging="218"/>
        <w:spacing w:after="0"/>
        <w:tabs>
          <w:tab w:leader="none" w:pos="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occurrence of specified corporate events.</w:t>
      </w:r>
    </w:p>
    <w:p>
      <w:pPr>
        <w:spacing w:after="0" w:line="185"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the 2027 Sale Price Trigger was met and as a result, holders may convert their 2027 Notes at any time through October 30, 2026. On or after November 1, 2026, the 2027 Notes are convertible at any time until the close of business on the second scheduled trading day immediately preceding the maturity date.</w:t>
      </w:r>
    </w:p>
    <w:p>
      <w:pPr>
        <w:spacing w:after="0" w:line="13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the event of a fundamental change (as defined in the indenture governing the 2027 Notes), subject to certain conditions and limited exceptions, holders of the 2027 Notes may require us to repurchase all or a portion of the 2027 Notes at a price equal to 100% of the principal amount of 2027 Notes, plus accrued and unpaid interest.</w:t>
      </w:r>
    </w:p>
    <w:p>
      <w:pPr>
        <w:spacing w:after="0" w:line="14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accounted for the issuance of the 2027 Notes as a single liability measured at its amortized cost, as no embedded features require bifurcation and recognition as derivatives.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Partial Repurchase of 2027 Notes</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June 2025, we used a portion of the net proceeds from the issuance of the 2030 Notes to repurchase approximately $201.7 million in aggregate principal amount of outstanding 2027 Notes. The total cash paid in connection with this repurchase was approximately $216.7 million, which included approximately $0.7 million to pay the accrued interest through the settlement date and an approximate $14.3 million premium. The repurchase resulted in a $16.4 million loss on debt extinguishment, which included the write-off of $2.1 million of deferred costs related to the 2027 Notes. The loss on debt extinguishment was recorded within Other expenses in the Condensed Consolidated Statements of Operations and Comprehensive Income (Loss).</w:t>
      </w:r>
    </w:p>
    <w:p>
      <w:pPr>
        <w:spacing w:after="0" w:line="14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Following this partial repurchase, approximately $85.8 million aggregate principal amount of the 2027 Notes remain outstanding on our Condensed Consolidated Balance Sheet. The original terms and conditions continue to apply to the remaining 2027 Notes, and the unamortized debt discount and issuance costs related to these notes will continue to accrete to interest expense.</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outstanding principal amount and carrying value of the Convertible Notes as of the dates indicated (in thousands):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Unamortized Debt</w:t>
            </w:r>
          </w:p>
        </w:tc>
        <w:tc>
          <w:tcPr>
            <w:tcW w:w="140" w:type="dxa"/>
            <w:vAlign w:val="bottom"/>
          </w:tcPr>
          <w:p>
            <w:pPr>
              <w:spacing w:after="0"/>
              <w:rPr>
                <w:sz w:val="10"/>
                <w:szCs w:val="10"/>
                <w:color w:val="auto"/>
              </w:rPr>
            </w:pPr>
          </w:p>
        </w:tc>
        <w:tc>
          <w:tcPr>
            <w:tcW w:w="12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Unamortized Debt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Issuance Costs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 Notes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84,999</w:t>
            </w:r>
          </w:p>
        </w:tc>
        <w:tc>
          <w:tcPr>
            <w:tcW w:w="46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2030 Notes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334,999</w:t>
            </w:r>
          </w:p>
        </w:tc>
        <w:tc>
          <w:tcPr>
            <w:tcW w:w="260" w:type="dxa"/>
            <w:vAlign w:val="bottom"/>
            <w:gridSpan w:val="2"/>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(5,720)</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328,423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6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Unamortized Debt</w:t>
            </w:r>
          </w:p>
        </w:tc>
        <w:tc>
          <w:tcPr>
            <w:tcW w:w="140" w:type="dxa"/>
            <w:vAlign w:val="bottom"/>
          </w:tcPr>
          <w:p>
            <w:pPr>
              <w:spacing w:after="0"/>
              <w:rPr>
                <w:sz w:val="10"/>
                <w:szCs w:val="10"/>
                <w:color w:val="auto"/>
              </w:rPr>
            </w:pPr>
          </w:p>
        </w:tc>
        <w:tc>
          <w:tcPr>
            <w:tcW w:w="12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Unamortized Debt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Issuance Costs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 Notes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85,805</w:t>
            </w:r>
          </w:p>
        </w:tc>
        <w:tc>
          <w:tcPr>
            <w:tcW w:w="46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(557)</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2030 Notes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335,805</w:t>
            </w:r>
          </w:p>
        </w:tc>
        <w:tc>
          <w:tcPr>
            <w:tcW w:w="260" w:type="dxa"/>
            <w:vAlign w:val="bottom"/>
            <w:gridSpan w:val="2"/>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(7,232)</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-942340</wp:posOffset>
            </wp:positionV>
            <wp:extent cx="774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-925195</wp:posOffset>
            </wp:positionV>
            <wp:extent cx="774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-942340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-925195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-942340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-925195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-25400</wp:posOffset>
            </wp:positionV>
            <wp:extent cx="7747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-25400</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-25400</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annual effective interest rates for the 2027 Notes and the 2030 Notes were approximately 1.7% and 1.4%, respectively. Interest expense related to the Convertible Notes for the periods presented below was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224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6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6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Coupon interest</w:t>
            </w:r>
          </w:p>
        </w:tc>
        <w:tc>
          <w:tcPr>
            <w:tcW w:w="760" w:type="dxa"/>
            <w:vAlign w:val="bottom"/>
            <w:shd w:val="clear" w:color="auto" w:fill="CFF0FC"/>
          </w:tcPr>
          <w:p>
            <w:pPr>
              <w:jc w:val="right"/>
              <w:ind w:right="60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2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shd w:val="clear" w:color="auto" w:fill="CFF0FC"/>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tcPr>
          <w:p>
            <w:pPr>
              <w:spacing w:after="0"/>
              <w:rPr>
                <w:sz w:val="18"/>
                <w:szCs w:val="18"/>
                <w:color w:val="auto"/>
              </w:rPr>
            </w:pPr>
          </w:p>
        </w:tc>
      </w:tr>
      <w:tr>
        <w:trPr>
          <w:trHeight w:val="216"/>
        </w:trPr>
        <w:tc>
          <w:tcPr>
            <w:tcW w:w="5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transaction costs</w:t>
            </w:r>
          </w:p>
        </w:tc>
        <w:tc>
          <w:tcPr>
            <w:tcW w:w="76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760" w:type="dxa"/>
            <w:vAlign w:val="bottom"/>
          </w:tcPr>
          <w:p>
            <w:pPr>
              <w:jc w:val="right"/>
              <w:ind w:right="60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2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1,274</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00" w:type="dxa"/>
            <w:vAlign w:val="bottom"/>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-170815</wp:posOffset>
            </wp:positionV>
            <wp:extent cx="7747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-170815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the Convertible Notes based on quoted market prices in less active markets and is classified as Level 2 in the fair value hierarchy. The following table presents the carrying value and the estimated fair value of the Convertible Notes as of the date indicated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183"/>
        </w:trPr>
        <w:tc>
          <w:tcPr>
            <w:tcW w:w="5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r>
      <w:tr>
        <w:trPr>
          <w:trHeight w:val="210"/>
        </w:trPr>
        <w:tc>
          <w:tcPr>
            <w:tcW w:w="56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2027 Notes</w:t>
            </w:r>
            <w:r>
              <w:rPr>
                <w:rFonts w:ascii="Times New Roman" w:cs="Times New Roman" w:eastAsia="Times New Roman" w:hAnsi="Times New Roman"/>
                <w:sz w:val="24"/>
                <w:szCs w:val="24"/>
                <w:color w:val="auto"/>
                <w:vertAlign w:val="superscript"/>
              </w:rPr>
              <w:t>(1)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84,816</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157,588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85,205</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107,900</w:t>
            </w:r>
          </w:p>
        </w:tc>
        <w:tc>
          <w:tcPr>
            <w:tcW w:w="100" w:type="dxa"/>
            <w:vAlign w:val="bottom"/>
            <w:shd w:val="clear" w:color="auto" w:fill="CFF0FC"/>
          </w:tcPr>
          <w:p>
            <w:pPr>
              <w:spacing w:after="0"/>
              <w:rPr>
                <w:sz w:val="18"/>
                <w:szCs w:val="18"/>
                <w:color w:val="auto"/>
              </w:rPr>
            </w:pPr>
          </w:p>
        </w:tc>
      </w:tr>
      <w:tr>
        <w:trPr>
          <w:trHeight w:val="216"/>
        </w:trPr>
        <w:tc>
          <w:tcPr>
            <w:tcW w:w="5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2030 Notes</w:t>
            </w:r>
            <w:r>
              <w:rPr>
                <w:rFonts w:ascii="Times New Roman" w:cs="Times New Roman" w:eastAsia="Times New Roman" w:hAnsi="Times New Roman"/>
                <w:sz w:val="24"/>
                <w:szCs w:val="24"/>
                <w:color w:val="auto"/>
                <w:vertAlign w:val="superscript"/>
              </w:rPr>
              <w:t>(1)</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243,607</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585,925</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242,309</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375,550</w:t>
            </w:r>
          </w:p>
        </w:tc>
        <w:tc>
          <w:tcPr>
            <w:tcW w:w="100" w:type="dxa"/>
            <w:vAlign w:val="bottom"/>
          </w:tcPr>
          <w:p>
            <w:pPr>
              <w:spacing w:after="0"/>
              <w:rPr>
                <w:sz w:val="18"/>
                <w:szCs w:val="18"/>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Convertible Notes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328,423</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743,513</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327,514</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483,450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31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right="40" w:firstLine="44"/>
        <w:spacing w:after="0" w:line="261" w:lineRule="auto"/>
        <w:tabs>
          <w:tab w:leader="none" w:pos="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2026 and December 31, 2025, the fair value of the Convertible Notes, as applicable, were measured using Level 2 inputs based on the frequency of trading on our debt at the end of the period.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Capped Call Transactions</w:t>
      </w:r>
    </w:p>
    <w:p>
      <w:pPr>
        <w:spacing w:after="0" w:line="18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the 2030 Notes, we entered into capped call transactions (the “Capped Calls”) with respect to its Class A common shares with certain financial institutions. The Capped Calls are expected to reduce the potential dilution to our Class A common stock upon any conversion of the 2030 Notes and/or offset any cash payments we are required to make in excess of the principal amount of the converted 2030 Notes, as the case may be, with such reduction and/or offset subject to a cap based on a cap price initially equal to $63.35 per share and which is subject to certain adjustments under the terms of the Capped Calls.</w:t>
      </w:r>
    </w:p>
    <w:p>
      <w:pPr>
        <w:spacing w:after="0" w:line="14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used approximately $17.5 million of the net proceeds from the 2030 Notes to pay the cost of the Capped Calls. These instruments are classified as equity and recorded as a reduction of additional paid-in capital in the Condensed Consolidated Statements of Changes in Stockholders’ Equity. The Capped Calls are not accounted for as derivatives and will not be remeasured; they will remain in stockholders’ equity until expiration or settlement.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of Treasury Stock</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conjunction with the 2030 Notes issuance, we purchased 220,994 shares of our Class A common stock in privately negotiated transactions at an average price of $36.20 per share on June 9, 2025. The $8.1 million of treasury stock repurchase costs was funded using a portion of the proceeds of the 2030 Notes and was recorded as a reduction to stockholders’ equity in the Condensed Consolidated Statements of Changes in Stockholders’ Equity.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from time to time may be subject to various claims and legal proceedings covering a range of matters that arise in the ordinary course of its business activities. In the opinion of the Company, although the outcome of any legal proceedings cannot be predicted with certainty, the ultimate liability of the Company in connection with its legal proceedings is not expected to have a material adverse effect on the Company’s financial position or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During 2025 and 2026, the Company initiated a restructuring action to help manage its operating expenses, improve its efficiency and align resources by reducing its workforce. For the three and nine months ended September 30, 2026, the Company incurred $1.4 million and $1.3 million, respectively, for employee termination costs related to the restructuring. For the three and nine months ended September 30, 2025, the Company incurred $(0.1) million and $1.5 million for employee termination costs related to the restructuring, respectively.</w:t>
      </w:r>
    </w:p>
    <w:p>
      <w:pPr>
        <w:spacing w:after="0" w:line="13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shows the total restructuring costs incurred and the liability, which was recorded and accrued in the Condensed Consolidated Balance Sheets, for restructuring-related employee termination benefits as of December 31, 2025 and September 30, 2026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00" w:type="dxa"/>
            <w:vAlign w:val="bottom"/>
          </w:tcPr>
          <w:p>
            <w:pPr>
              <w:spacing w:after="0"/>
              <w:rPr>
                <w:sz w:val="15"/>
                <w:szCs w:val="15"/>
                <w:color w:val="auto"/>
              </w:rPr>
            </w:pPr>
          </w:p>
        </w:tc>
        <w:tc>
          <w:tcPr>
            <w:tcW w:w="2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Employee Termination Benefits</w:t>
            </w:r>
          </w:p>
        </w:tc>
        <w:tc>
          <w:tcPr>
            <w:tcW w:w="100" w:type="dxa"/>
            <w:vAlign w:val="bottom"/>
          </w:tcPr>
          <w:p>
            <w:pPr>
              <w:spacing w:after="0"/>
              <w:rPr>
                <w:sz w:val="15"/>
                <w:szCs w:val="15"/>
                <w:color w:val="auto"/>
              </w:rPr>
            </w:pPr>
          </w:p>
        </w:tc>
      </w:tr>
      <w:tr>
        <w:trPr>
          <w:trHeight w:val="209"/>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restructuring costs as of December 31, 2025</w:t>
            </w:r>
          </w:p>
        </w:tc>
        <w:tc>
          <w:tcPr>
            <w:tcW w:w="86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 incurred during the nine months ended September 30, 2026</w:t>
            </w:r>
          </w:p>
        </w:tc>
        <w:tc>
          <w:tcPr>
            <w:tcW w:w="8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 paid during the period ended September 30, 2026</w:t>
            </w:r>
          </w:p>
        </w:tc>
        <w:tc>
          <w:tcPr>
            <w:tcW w:w="8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r>
      <w:tr>
        <w:trPr>
          <w:trHeight w:val="209"/>
        </w:trPr>
        <w:tc>
          <w:tcPr>
            <w:tcW w:w="9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Accrued restructuring costs as of September 30, 2026</w:t>
            </w: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Borders>
              <w:top w:val="single" w:sz="8" w:color="CFF0FC"/>
            </w:tcBorders>
          </w:tcPr>
          <w:p>
            <w:pPr>
              <w:spacing w:after="0"/>
              <w:rPr>
                <w:sz w:val="18"/>
                <w:szCs w:val="18"/>
                <w:color w:val="auto"/>
              </w:rPr>
            </w:pPr>
          </w:p>
        </w:tc>
      </w:tr>
      <w:tr>
        <w:trPr>
          <w:trHeight w:val="20"/>
        </w:trPr>
        <w:tc>
          <w:tcPr>
            <w:tcW w:w="9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shows the total restructuring costs incurred during the three and nine months ended September 30, 2026 and 2025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00" w:type="dxa"/>
            <w:vAlign w:val="bottom"/>
          </w:tcPr>
          <w:p>
            <w:pPr>
              <w:spacing w:after="0"/>
              <w:rPr>
                <w:sz w:val="16"/>
                <w:szCs w:val="16"/>
                <w:color w:val="auto"/>
              </w:rPr>
            </w:pPr>
          </w:p>
        </w:tc>
        <w:tc>
          <w:tcPr>
            <w:tcW w:w="292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5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36"/>
        </w:trPr>
        <w:tc>
          <w:tcPr>
            <w:tcW w:w="560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53"/>
              <w:spacing w:after="0" w:line="136"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375"/>
              <w:spacing w:after="0" w:line="136"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73"/>
              <w:spacing w:after="0" w:line="136"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r>
      <w:tr>
        <w:trPr>
          <w:trHeight w:val="20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60" w:type="dxa"/>
            <w:vAlign w:val="bottom"/>
            <w:shd w:val="clear" w:color="auto" w:fill="CFF0FC"/>
          </w:tcPr>
          <w:p>
            <w:pPr>
              <w:jc w:val="right"/>
              <w:ind w:right="60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Operations and support</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18"/>
                <w:szCs w:val="18"/>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76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FF0FC"/>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760" w:type="dxa"/>
            <w:vAlign w:val="bottom"/>
            <w:shd w:val="clear" w:color="auto" w:fill="CFF0FC"/>
          </w:tcPr>
          <w:p>
            <w:pPr>
              <w:jc w:val="right"/>
              <w:ind w:right="60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shd w:val="clear" w:color="auto" w:fill="CFF0FC"/>
          </w:tcPr>
          <w:p>
            <w:pPr>
              <w:spacing w:after="0"/>
              <w:rPr>
                <w:sz w:val="19"/>
                <w:szCs w:val="19"/>
                <w:color w:val="auto"/>
              </w:rPr>
            </w:pPr>
          </w:p>
        </w:tc>
      </w:tr>
      <w:tr>
        <w:trPr>
          <w:trHeight w:val="20"/>
        </w:trPr>
        <w:tc>
          <w:tcPr>
            <w:tcW w:w="56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6147435</wp:posOffset>
            </wp:positionH>
            <wp:positionV relativeFrom="paragraph">
              <wp:posOffset>-843915</wp:posOffset>
            </wp:positionV>
            <wp:extent cx="93980" cy="1371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-843915</wp:posOffset>
            </wp:positionV>
            <wp:extent cx="93980" cy="1371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-25400</wp:posOffset>
            </wp:positionV>
            <wp:extent cx="7747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-8255</wp:posOffset>
            </wp:positionV>
            <wp:extent cx="7747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-25400</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-8255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-25400</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-8255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sponsors a defined contribution plan for qualifying employees, including a 401(k) Plan in the United States to which it makes matching contributions of 50% of participating employee contributions up to 6% of eligible income. The Company’s total matching contribution to the 401(k) Plan was $0.8 million and $0.6 million for the three months ended September 30, 2026 and 2025, respectively, and was $2.5 million and $1.9 million for the nine months ended September 30, 2026 and 2025, respectively.</w:t>
      </w:r>
    </w:p>
    <w:p>
      <w:pPr>
        <w:spacing w:after="0" w:line="135" w:lineRule="exact"/>
        <w:rPr>
          <w:sz w:val="20"/>
          <w:szCs w:val="20"/>
          <w:color w:val="auto"/>
        </w:rPr>
      </w:pPr>
    </w:p>
    <w:p>
      <w:pPr>
        <w:ind w:left="400" w:hanging="392"/>
        <w:spacing w:after="0"/>
        <w:tabs>
          <w:tab w:leader="none" w:pos="4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202"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summarize the Company’s intangible assets (dollars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80" w:type="dxa"/>
            <w:vAlign w:val="bottom"/>
          </w:tcPr>
          <w:p>
            <w:pPr>
              <w:spacing w:after="0"/>
              <w:rPr>
                <w:sz w:val="10"/>
                <w:szCs w:val="10"/>
                <w:color w:val="auto"/>
              </w:rPr>
            </w:pPr>
          </w:p>
        </w:tc>
        <w:tc>
          <w:tcPr>
            <w:tcW w:w="1080" w:type="dxa"/>
            <w:vAlign w:val="bottom"/>
          </w:tcPr>
          <w:p>
            <w:pPr>
              <w:jc w:val="center"/>
              <w:ind w:left="14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080" w:type="dxa"/>
            <w:vAlign w:val="bottom"/>
          </w:tcPr>
          <w:p>
            <w:pPr>
              <w:jc w:val="center"/>
              <w:ind w:left="12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080" w:type="dxa"/>
            <w:vAlign w:val="bottom"/>
          </w:tcPr>
          <w:p>
            <w:pPr>
              <w:jc w:val="center"/>
              <w:ind w:left="149"/>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080" w:type="dxa"/>
            <w:vAlign w:val="bottom"/>
          </w:tcPr>
          <w:p>
            <w:pPr>
              <w:jc w:val="center"/>
              <w:ind w:left="149"/>
              <w:spacing w:after="0" w:line="149" w:lineRule="exact"/>
              <w:rPr>
                <w:sz w:val="20"/>
                <w:szCs w:val="20"/>
                <w:color w:val="auto"/>
              </w:rPr>
            </w:pPr>
            <w:r>
              <w:rPr>
                <w:rFonts w:ascii="Times New Roman" w:cs="Times New Roman" w:eastAsia="Times New Roman" w:hAnsi="Times New Roman"/>
                <w:sz w:val="14"/>
                <w:szCs w:val="14"/>
                <w:b w:val="1"/>
                <w:bCs w:val="1"/>
                <w:color w:val="auto"/>
                <w:w w:val="99"/>
              </w:rPr>
              <w:t>period in</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1080" w:type="dxa"/>
            <w:vAlign w:val="bottom"/>
            <w:tcBorders>
              <w:bottom w:val="single" w:sz="8" w:color="auto"/>
            </w:tcBorders>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37,220</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Vendor Relationships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Database</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43,875</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15,867</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6460" w:type="dxa"/>
            <w:vAlign w:val="bottom"/>
            <w:tcBorders>
              <w:top w:val="single" w:sz="8" w:color="CFF0FC"/>
            </w:tcBorders>
            <w:gridSpan w:val="2"/>
          </w:tcPr>
          <w:p>
            <w:pPr>
              <w:ind w:left="554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3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-865505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-847725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-865505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-847725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-865505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60" w:type="dxa"/>
            <w:vAlign w:val="bottom"/>
          </w:tcPr>
          <w:p>
            <w:pPr>
              <w:spacing w:after="0"/>
              <w:rPr>
                <w:sz w:val="10"/>
                <w:szCs w:val="10"/>
                <w:color w:val="auto"/>
              </w:rPr>
            </w:pPr>
          </w:p>
        </w:tc>
        <w:tc>
          <w:tcPr>
            <w:tcW w:w="1080" w:type="dxa"/>
            <w:vAlign w:val="bottom"/>
          </w:tcPr>
          <w:p>
            <w:pPr>
              <w:jc w:val="center"/>
              <w:ind w:left="14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080" w:type="dxa"/>
            <w:vAlign w:val="bottom"/>
          </w:tcPr>
          <w:p>
            <w:pPr>
              <w:jc w:val="center"/>
              <w:ind w:left="12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080" w:type="dxa"/>
            <w:vAlign w:val="bottom"/>
          </w:tcPr>
          <w:p>
            <w:pPr>
              <w:jc w:val="center"/>
              <w:ind w:left="149"/>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080" w:type="dxa"/>
            <w:vAlign w:val="bottom"/>
          </w:tcPr>
          <w:p>
            <w:pPr>
              <w:jc w:val="center"/>
              <w:ind w:left="149"/>
              <w:spacing w:after="0" w:line="149" w:lineRule="exact"/>
              <w:rPr>
                <w:sz w:val="20"/>
                <w:szCs w:val="20"/>
                <w:color w:val="auto"/>
              </w:rPr>
            </w:pPr>
            <w:r>
              <w:rPr>
                <w:rFonts w:ascii="Times New Roman" w:cs="Times New Roman" w:eastAsia="Times New Roman" w:hAnsi="Times New Roman"/>
                <w:sz w:val="14"/>
                <w:szCs w:val="14"/>
                <w:b w:val="1"/>
                <w:bCs w:val="1"/>
                <w:color w:val="auto"/>
                <w:w w:val="99"/>
              </w:rPr>
              <w:t>period in</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080" w:type="dxa"/>
            <w:vAlign w:val="bottom"/>
            <w:tcBorders>
              <w:bottom w:val="single" w:sz="8" w:color="auto"/>
            </w:tcBorders>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36,600</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26,689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Vendor Relationships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Database</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 intangible assets</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41,950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In-place Lease Intangible Asset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Above Market Lease Intangible Asset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2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43,414</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14,851</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-170815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Amortization expense for the three and nine months ended September 30, 2026 and 2025 was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2620" w:type="dxa"/>
            <w:vAlign w:val="bottom"/>
            <w:gridSpan w:val="5"/>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7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20" w:type="dxa"/>
            <w:vAlign w:val="bottom"/>
            <w:shd w:val="clear" w:color="auto" w:fill="CFF0FC"/>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shd w:val="clear" w:color="auto" w:fill="CFF0FC"/>
          </w:tcPr>
          <w:p>
            <w:pPr>
              <w:spacing w:after="0"/>
              <w:rPr>
                <w:sz w:val="18"/>
                <w:szCs w:val="18"/>
                <w:color w:val="auto"/>
              </w:rPr>
            </w:pPr>
          </w:p>
        </w:tc>
      </w:tr>
      <w:tr>
        <w:trPr>
          <w:trHeight w:val="164"/>
        </w:trPr>
        <w:tc>
          <w:tcPr>
            <w:tcW w:w="574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Product development</w:t>
            </w:r>
          </w:p>
        </w:tc>
        <w:tc>
          <w:tcPr>
            <w:tcW w:w="820" w:type="dxa"/>
            <w:vAlign w:val="bottom"/>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80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140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4"/>
                <w:szCs w:val="14"/>
                <w:color w:val="auto"/>
              </w:rPr>
            </w:pPr>
          </w:p>
        </w:tc>
      </w:tr>
      <w:tr>
        <w:trPr>
          <w:trHeight w:val="268"/>
        </w:trPr>
        <w:tc>
          <w:tcPr>
            <w:tcW w:w="574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(1)</w:t>
            </w:r>
          </w:p>
        </w:tc>
        <w:tc>
          <w:tcPr>
            <w:tcW w:w="8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3"/>
                <w:szCs w:val="23"/>
                <w:color w:val="auto"/>
              </w:rPr>
            </w:pPr>
          </w:p>
        </w:tc>
      </w:tr>
      <w:tr>
        <w:trPr>
          <w:trHeight w:val="228"/>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460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-10795</wp:posOffset>
            </wp:positionV>
            <wp:extent cx="342900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(1) Amortization of the lease-related intangible assets is recorded as operating lease expense in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-95885</wp:posOffset>
            </wp:positionV>
            <wp:extent cx="34290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147"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As of September 30, 2026, estimated amortization expense for intangible assets for the remainder of 2026 and the next five years is: $0.8 million in 2026, $2.9 million in 2027, $2.9 million in 2028, $2.9 million in 2029, $2.9 million in 2030, $2.9 million in 2031 and $12.7 million thereafter.</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provides a roll forward of the carrying amount of goodwill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2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14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Gross goodwill</w:t>
            </w:r>
          </w:p>
        </w:tc>
        <w:tc>
          <w:tcPr>
            <w:tcW w:w="24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266,875</w:t>
            </w:r>
          </w:p>
        </w:tc>
        <w:tc>
          <w:tcPr>
            <w:tcW w:w="16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265,760</w:t>
            </w: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impairments</w:t>
            </w:r>
          </w:p>
        </w:tc>
        <w:tc>
          <w:tcPr>
            <w:tcW w:w="14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(3,074)</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(3,074)</w:t>
            </w:r>
          </w:p>
        </w:tc>
      </w:tr>
      <w:tr>
        <w:trPr>
          <w:trHeight w:val="210"/>
        </w:trPr>
        <w:tc>
          <w:tcPr>
            <w:tcW w:w="6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goodwill as of January 1</w:t>
            </w:r>
          </w:p>
        </w:tc>
        <w:tc>
          <w:tcPr>
            <w:tcW w:w="1460" w:type="dxa"/>
            <w:vAlign w:val="bottom"/>
            <w:tcBorders>
              <w:top w:val="single" w:sz="8" w:color="CFF0F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263,801</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262,686</w:t>
            </w:r>
          </w:p>
        </w:tc>
        <w:tc>
          <w:tcPr>
            <w:tcW w:w="100" w:type="dxa"/>
            <w:vAlign w:val="bottom"/>
            <w:tcBorders>
              <w:top w:val="single" w:sz="8" w:color="CFF0FC"/>
            </w:tcBorders>
          </w:tcPr>
          <w:p>
            <w:pPr>
              <w:spacing w:after="0"/>
              <w:rPr>
                <w:sz w:val="18"/>
                <w:szCs w:val="18"/>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acquired during the year</w:t>
            </w:r>
          </w:p>
        </w:tc>
        <w:tc>
          <w:tcPr>
            <w:tcW w:w="14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Impact of foreign exchange</w:t>
            </w:r>
          </w:p>
        </w:tc>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goodwill as of September 30, 2026 and December 31, 2025:</w:t>
            </w:r>
          </w:p>
        </w:tc>
        <w:tc>
          <w:tcPr>
            <w:tcW w:w="2460" w:type="dxa"/>
            <w:vAlign w:val="bottom"/>
            <w:gridSpan w:val="2"/>
            <w:shd w:val="clear" w:color="auto" w:fill="CFF0FC"/>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268,051</w:t>
            </w:r>
          </w:p>
        </w:tc>
        <w:tc>
          <w:tcPr>
            <w:tcW w:w="1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263,801</w:t>
            </w:r>
          </w:p>
        </w:tc>
        <w:tc>
          <w:tcPr>
            <w:tcW w:w="100" w:type="dxa"/>
            <w:vAlign w:val="bottom"/>
            <w:shd w:val="clear" w:color="auto" w:fill="CFF0FC"/>
          </w:tcPr>
          <w:p>
            <w:pPr>
              <w:spacing w:after="0"/>
              <w:rPr>
                <w:sz w:val="19"/>
                <w:szCs w:val="19"/>
                <w:color w:val="auto"/>
              </w:rPr>
            </w:pPr>
          </w:p>
        </w:tc>
      </w:tr>
      <w:tr>
        <w:trPr>
          <w:trHeight w:val="20"/>
        </w:trPr>
        <w:tc>
          <w:tcPr>
            <w:tcW w:w="61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-591185</wp:posOffset>
            </wp:positionV>
            <wp:extent cx="7747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-25400</wp:posOffset>
            </wp:positionV>
            <wp:extent cx="7747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7747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$268.1 million and $263.8 million, respectively of goodwill. As of September 30, 2026, $262.7 million was part of the Company’s U.S. operating segment and $5.4 million was part of its International operating segment. As of December 31, 2025, $258.0 million was part of the Company’s U.S. operating segment and $5.8 million was part of its International operating segment.</w:t>
      </w:r>
    </w:p>
    <w:p>
      <w:pPr>
        <w:spacing w:after="0" w:line="131" w:lineRule="exact"/>
        <w:rPr>
          <w:sz w:val="20"/>
          <w:szCs w:val="20"/>
          <w:color w:val="auto"/>
        </w:rPr>
      </w:pPr>
    </w:p>
    <w:p>
      <w:pPr>
        <w:ind w:left="400" w:hanging="392"/>
        <w:spacing w:after="0"/>
        <w:tabs>
          <w:tab w:leader="none" w:pos="4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00"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Acquisition of GoBRANDgo, LLC</w:t>
      </w:r>
    </w:p>
    <w:p>
      <w:pPr>
        <w:spacing w:after="0" w:line="18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 xml:space="preserve">On July 1, 2026, the Company acquired certain assets and liabilities of GoBRANDgo, LLC (“GoBRANDgo”), a strategic marketing agency based in St. Louis, pursuant to an asset purchase agreement. The transaction has been accounted for under the acquisition method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This acquisition will allow Thomasnet to offer enhanced marketing services that leverage GoBRANDgo’s AI and automation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capabilities. The Company incurred $0.3 million in transaction costs related to the acquisition during the nine months ended September 30, 2026, which are included within general and administrative expenses in the Condensed Consolidated Statements of Operations and Comprehensive Income (Loss).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aggregate non-contingent portion of the purchase price was approximately $4.6 million in cash. Additionally, the purchase price included liability-classified contingent consideration with an estimated fair value of $2.1 million. The contingent consideration allows the former GoBRANDgo owners to receive up to 28,454 shares of the Company’s Class A common stock based on the achievement of 2026 and 2027 performance targets. The contingent consideration liability will subsequently be remeasured at fair value. The maximum award corresponds with the quantity of shares that was equal to $2.5 million in value when the transaction closed based on the preceding 20-day average closing share price.</w:t>
      </w:r>
    </w:p>
    <w:p>
      <w:pPr>
        <w:spacing w:after="0" w:line="15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has performed a preliminary valuation analysis of the fair market value of the acquired assets and liabilities of GoBRANDgo. We expect to finalize the purchase price allocation once the Company has completed its assessment of the post-close working capital adjustment to the purchase price, which may impact the value of goodwill. The final allocation could differ materially from the preliminary allocation and may include changes to the value of acquired assets or liabilities.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following table (in thousands) summarizes the consideration transferred in the acquisition:</w:t>
            </w: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5"/>
        </w:trPr>
        <w:tc>
          <w:tcPr>
            <w:tcW w:w="8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8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(net of expected post-close working capital adjustment)</w:t>
            </w:r>
          </w:p>
        </w:tc>
        <w:tc>
          <w:tcPr>
            <w:tcW w:w="180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100" w:type="dxa"/>
            <w:vAlign w:val="bottom"/>
            <w:shd w:val="clear" w:color="auto" w:fill="CFF0FC"/>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earnout</w:t>
            </w:r>
          </w:p>
        </w:tc>
        <w:tc>
          <w:tcPr>
            <w:tcW w:w="12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00" w:type="dxa"/>
            <w:vAlign w:val="bottom"/>
          </w:tcPr>
          <w:p>
            <w:pPr>
              <w:spacing w:after="0"/>
              <w:rPr>
                <w:sz w:val="18"/>
                <w:szCs w:val="18"/>
                <w:color w:val="auto"/>
              </w:rPr>
            </w:pPr>
          </w:p>
        </w:tc>
      </w:tr>
      <w:tr>
        <w:trPr>
          <w:trHeight w:val="230"/>
        </w:trPr>
        <w:tc>
          <w:tcPr>
            <w:tcW w:w="8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180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00" w:type="dxa"/>
            <w:vAlign w:val="bottom"/>
            <w:shd w:val="clear" w:color="auto" w:fill="CFF0FC"/>
          </w:tcPr>
          <w:p>
            <w:pPr>
              <w:spacing w:after="0"/>
              <w:rPr>
                <w:sz w:val="19"/>
                <w:szCs w:val="19"/>
                <w:color w:val="auto"/>
              </w:rPr>
            </w:pPr>
          </w:p>
        </w:tc>
      </w:tr>
      <w:tr>
        <w:trPr>
          <w:trHeight w:val="20"/>
        </w:trPr>
        <w:tc>
          <w:tcPr>
            <w:tcW w:w="842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(in thousands) summarizes the preliminary fair value of the GoBRANDgo assets acquired and liabilities assumed on July 1,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35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4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5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3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35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accrued expenses</w:t>
            </w:r>
          </w:p>
        </w:tc>
        <w:tc>
          <w:tcPr>
            <w:tcW w:w="35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w:t>
            </w:r>
          </w:p>
        </w:tc>
      </w:tr>
      <w:tr>
        <w:trPr>
          <w:trHeight w:val="20"/>
        </w:trPr>
        <w:tc>
          <w:tcPr>
            <w:tcW w:w="6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410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00" w:type="dxa"/>
            <w:vAlign w:val="bottom"/>
            <w:shd w:val="clear" w:color="auto" w:fill="CFF0FC"/>
          </w:tcPr>
          <w:p>
            <w:pPr>
              <w:spacing w:after="0"/>
              <w:rPr>
                <w:sz w:val="19"/>
                <w:szCs w:val="19"/>
                <w:color w:val="auto"/>
              </w:rPr>
            </w:pPr>
          </w:p>
        </w:tc>
      </w:tr>
      <w:tr>
        <w:trPr>
          <w:trHeight w:val="20"/>
        </w:trPr>
        <w:tc>
          <w:tcPr>
            <w:tcW w:w="6120" w:type="dxa"/>
            <w:vAlign w:val="bottom"/>
            <w:tcBorders>
              <w:top w:val="single" w:sz="8" w:color="CFF0FC"/>
            </w:tcBorders>
            <w:shd w:val="clear" w:color="auto" w:fill="CFF0FC"/>
          </w:tcPr>
          <w:p>
            <w:pPr>
              <w:spacing w:after="0" w:line="20" w:lineRule="exact"/>
              <w:rPr>
                <w:sz w:val="1"/>
                <w:szCs w:val="1"/>
                <w:color w:val="auto"/>
              </w:rPr>
            </w:pPr>
          </w:p>
        </w:tc>
        <w:tc>
          <w:tcPr>
            <w:tcW w:w="35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7" w:lineRule="exact"/>
        <w:rPr>
          <w:sz w:val="20"/>
          <w:szCs w:val="20"/>
          <w:color w:val="auto"/>
        </w:rPr>
      </w:pPr>
    </w:p>
    <w:p>
      <w:pPr>
        <w:jc w:val="both"/>
        <w:ind w:firstLine="374"/>
        <w:spacing w:after="0" w:line="228" w:lineRule="exact"/>
        <w:rPr>
          <w:sz w:val="20"/>
          <w:szCs w:val="20"/>
          <w:color w:val="auto"/>
        </w:rPr>
      </w:pPr>
      <w:r>
        <w:rPr>
          <w:rFonts w:ascii="Times New Roman" w:cs="Times New Roman" w:eastAsia="Times New Roman" w:hAnsi="Times New Roman"/>
          <w:sz w:val="18"/>
          <w:szCs w:val="18"/>
          <w:color w:val="auto"/>
        </w:rPr>
        <w:t>The Company engaged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valuation specialist to assist with the valuation of acquired assets, acquired liabilities, and the contingent consideration. The acquired goodwill balance is expected to be deductible for tax purposes and represents anticipated cross-selling revenue as well as technology-driven cost synergies. Acquired developed technology and customer relationships were valued using the relief from royalty method and the multi-period excess earnings method, respectively. The earnout was valued using a Monte Carlo simulation model. Level 3 inputs were used to estimate the fair value of these assets and liabilities.</w:t>
      </w:r>
    </w:p>
    <w:p>
      <w:pPr>
        <w:spacing w:after="0" w:line="17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GoBRANDgo’s results of operations were included in the Company’s consolidated financial statements beginning on the acquisition date. The acquisition of GoBRANDgo was not considered material to the Company for the periods presented, so separate proforma disclosures are not required.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4"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unaudited condensed consolidated financial statements and the related notes thereto included elsewhere in this Quarterly Report on Form 10-Q. The discussion contains forward-looking statements that are based on the beliefs of management, as well as assumptions made by, and information currently available to, our management. Actual results could differ materially from those discussed in or implied by forward-looking statements as a result of various factors, including those discussed in Part II, Item 1A, “Risk Factors” in our Annual Report on Form 10-K for the year ended December 31, 2025. Our historical results are not necessarily indicative of the results that may be expected in the future and our current quarterly results are not necessarily indicative of the results expected for the full year or any other period.</w:t>
      </w:r>
    </w:p>
    <w:p>
      <w:pPr>
        <w:spacing w:after="0" w:line="1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Xometry, Inc. (“Xometry”, the “Company”, “our”, or “we”) is an AI-native global online manufacturing marketplace with a suite of services that are rapidly digitizing the custom manufacturing industry. Xometry’s marketplace enables the design-to-production workflow by providing the AI-driven execution layer that translates design intent into intelligent sourcing decisions and production outcomes at scale. The marketplace offers transparency and traceability from the first quote to final delivery. We provide services that power the broader manufacturing lifecycle. These services include advertising and marketing services through our Thomasnet industrial sourcing platform, financial services and Workcenter, our cloud-based manufacturing execution system. These services deepen our relationships with suppliers. Together, our marketplace and services platforms provide manufacturers with the critical resources they need to grow their business and make it easy for buyers to create locally resilient supply chains.</w:t>
      </w:r>
    </w:p>
    <w:p>
      <w:pPr>
        <w:spacing w:after="0" w:line="14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Xometry operates an AI-native online marketplace that connects buyers with suppliers of manufacturing services, driving the digital transformation of one of the largest industries in the world. The platform is designed to digitize and modernize the sourcing, pricing, and execution of manufacturing work across a broad range of processes, materials and industries, enabling more efficient matching of manufacturing demand with available production capacity. We facilitate innovation by providing real-time access to global manufacturing demand and capacity. We believe these capabilities position Xometry as a preferred digital collaboration, sourcing and transaction platform for custom manufacturing, and lead to Xometry becoming an integral part of our buyer’s supply chains.</w:t>
      </w:r>
    </w:p>
    <w:p>
      <w:pPr>
        <w:spacing w:after="0" w:line="16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use proprietary technology to enable product designers, engineers, buyers, and supply chain professionals to instantly access the capacity of a global network of manufacturing facilities. The Company’s marketplace makes it possible for buyers to quickly receive pricing, expected lead times, and manufacturability feedback and place orders on the marketplace. The network allows us to provide high volumes of unique parts, including custom components and assemblies for our buyers, as well as larger production orders of single parts. Teamspace is a cloud-based solution within the Xometry platform that enables customers to collaborate with other users on projects and custom part orders. Workcenter, our partner operating system, gives suppliers a one-stop view into all of their Xometry and non-Xometry work. A cloud-based manufacturing execution system, Workcenter brings the job board and financial services into one easy-to-use platform which helps our suppliers digitize their operations so they can work smarter and faster. With Workcenter, shop owners can build and manage workflows for all their projects, including those from non-Xometry customers. These technology solutions help drive our land and expand efforts by embedding Xometry further into enterprise workflows.</w:t>
      </w:r>
    </w:p>
    <w:p>
      <w:pPr>
        <w:spacing w:after="0" w:line="14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business benefits from a network effect, because adding buyers to our platform generates greater demand on our marketplace which in turn attracts more suppliers to the platform, allowing us to rapidly scale and increase the number of manufacturing processes offered on our platform. In order to continue to meet the needs of buyers and remain highly competitive, we expect to continue to add suppliers to our platform that have new and innovative manufacturing processes. Thus, our platform is unbounded by the in-house manufacturing capacity and processes of our current suppliers.</w:t>
      </w:r>
    </w:p>
    <w:p>
      <w:pPr>
        <w:spacing w:after="0" w:line="13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define “buyers” as individuals who have placed an order to purchase custom-manufactured, on-demand parts or assemblies on our marketplace. Our buyers include engineers, product designers, procurement and supply chain personnel, entrepreneurs, technicians and business owners from small businesses to Fortune 500 companies. We define “accounts” as an individual entity, such as a sole proprietor with a single buyer or corporate entities with multiple buyers, having purchased at least one part on our marketplace. We define “suppliers” as individuals or businesses who have been approved by us to either manufacture a product on our marketplace for a buyer or have utilized our services, including our financial services or the purchase of tools and materials.</w:t>
      </w:r>
    </w:p>
    <w:p>
      <w:pPr>
        <w:spacing w:after="0" w:line="16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majority of our revenue is derived from the sale of part(s) and assemblies to our customers on our marketplace, which we refer to as marketplace revenue. The suppliers on our platform offer a diversified and expanding mix of manufacturing processes. These manufacturing processes include computer numerical control (“CNC”) manufacturing, sheet metal forming, sheet cutting, 3D printing (including fused deposition modeling, direct metal laser sintering, PolyJet, stereolithography, selective laser sintering, binder jetting, carbon digital light synthesis, multi jet fusion and lubricant sublayer photo-curing), die casting, stamping, injection molding, urethane casting, tube cutting, tube bending, as well as finishing services, rapid prototyping and high-volume production. Xometry’s extensible technology platform allows the Company to add new technologies and processes to gain more wallet share with our buyers. We enable buyers to source these processes to meet complex and specific design and order needs across several industries, including Aerospace, Industrial, Medical Devices, Automotive, Consumer Goods, Defense, Government, Energy, Education and Robotics.</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empower suppliers to grow their manufacturing businesses and improve machine utilization by providing access to an extensive, diverse base of buyers. We also offer suppliers supporting services to meet their unique needs. The Thomasnet digital platform connects industrial buyers with over 500,000 North American suppliers. Operating at the intersection of digital marketing, industrial sourcing, and supply chain management, Thomasnet supports manufacturers, distributors, and service providers with tools and resources to enhance visibility, drive qualified leads, and streamline procurement processes. Thomasnet offers a suite of digital marketing services including SEO, content creation, data-driven advertising, analytics and insights. These solutions help industrial companies increase online visibility and drive business growth. In addition, our services include financial service products to facilitate faster payments.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Unfavorable conditions in the economy both in the United States and abroad may negatively affect the growth of our business and our results of operations. For example, macroeconomic events, fluctuations in inflation and interest rates, volatile market conditions, impacts from changes in trade policy, the Russia-Ukraine war, conflict in the Middle East and other geopolitical tensions, have led to economic uncertainty globally. Historically, during periods of economic uncertainty and downturns, businesses may slow spending on information technology and manufacturing, which may impact our business and our customers’ businesses.</w:t>
      </w:r>
    </w:p>
    <w:p>
      <w:pPr>
        <w:spacing w:after="0" w:line="14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the section titled “Risk Factors” in our Annual Report on Form 10-K for the year ended December 31, 2025.</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18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 xml:space="preserve">During 2025 and 2026, we initiated restructuring actions to help improve efficiency and align resources by reducing our workforce by approximately 5% and 4%, respectively. The workforce reductions focused on realigning our staffing levels to help us meet the current and future objectives of our business. For the three and nine months ended September 30, 2026, we incurred $1.4 million and $1.3 million, respectively, for employee termination costs related to the restructuring. For the three and nine months ended September 30, 2025, we incurred $(0.1) million and $1.5 million, respectively, for employee termination costs related to the restructuring, respectively. Refer to Note 10, </w:t>
      </w:r>
      <w:r>
        <w:rPr>
          <w:rFonts w:ascii="Times New Roman" w:cs="Times New Roman" w:eastAsia="Times New Roman" w:hAnsi="Times New Roman"/>
          <w:sz w:val="18"/>
          <w:szCs w:val="18"/>
          <w:i w:val="1"/>
          <w:iCs w:val="1"/>
          <w:color w:val="auto"/>
        </w:rPr>
        <w:t>Commitments and Contingencies—Restructuring</w:t>
      </w:r>
      <w:r>
        <w:rPr>
          <w:rFonts w:ascii="Times New Roman" w:cs="Times New Roman" w:eastAsia="Times New Roman" w:hAnsi="Times New Roman"/>
          <w:sz w:val="18"/>
          <w:szCs w:val="18"/>
          <w:color w:val="auto"/>
        </w:rPr>
        <w:t xml:space="preserve"> for our condensed consolidated financial statements included elsewhere in this Quarterly Report on Form 10-Q.</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Acquisition of GoBRANDgo, LLC</w:t>
      </w:r>
    </w:p>
    <w:p>
      <w:pPr>
        <w:spacing w:after="0" w:line="18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On July 1, 2026, we acquired certain assets and liabilities of GoBRANDgo, LLC (“GoBRANDgo”), a strategic marketing agency based in St. Louis, pursuant to an asset purchase agreement (the "GoBRANDgo Asset Purchase Agreement"). The acquisition of GoBRANDgo is expected to enhance our marketing services offering through GoBRANDgo’s AI and automation capabilities. The aggregate non-contingent portion of the purchase price was approximately $4.6 million and was paid in cash on the closing date. In addition, the GoBRANDgo Asset Purchase Agreement includes a contingent consideration arrangement to the former owners of GoBRANDgo to receive up to 28,454 shares of the Company’s Class A common stock based on the achievement of 2026 and 2027 performance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Key Marketplace Operational and Business Metrics</w:t>
      </w:r>
    </w:p>
    <w:p>
      <w:pPr>
        <w:spacing w:after="0" w:line="20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addition to the measures presented in our condensed consolidated financial statements included elsewhere in this Quarterly Report on Form 10-Q, we use the following key operational and business metrics to help us evaluate our marketplace business, measure our performance, identify trends affecting our business, formulate business plans and develop forecasts, and make strategic decisions: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Buyers</w:t>
      </w:r>
    </w:p>
    <w:p>
      <w:pPr>
        <w:spacing w:after="0" w:line="18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define Active Buyers as the number of buyers who have made at least one purchase on our marketplace during the last twelve months. An increase or decrease in the number of Active Buyers is a key indicator of our ability to attract, retain and engage buyers on our platform.</w:t>
      </w:r>
    </w:p>
    <w:p>
      <w:pPr>
        <w:spacing w:after="0" w:line="13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Active Buyers has consistently grown over time. The number of Active Buyers on our platform reached 93,812 as of September 30, 2026, up 20% from 78,282 as of September 30, 2025. The key drivers of Active Buyer growth are continued account and buyer engagement and the success of our strategy to attract new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97790</wp:posOffset>
            </wp:positionV>
            <wp:extent cx="4371975" cy="43719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371975" cy="437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Percentage of Revenue from Existing Accounts</w:t>
      </w:r>
    </w:p>
    <w:p>
      <w:pPr>
        <w:spacing w:after="0" w:line="20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define an existing account as an account where at least one buyer has made a purchase on our marketplace. We believe the efficiency and transparency of our business model lead to increasing account stickiness and spend over time. Buyers can utilize our marketplace for both one-off and recurring manufacturing opportunities. For example, a buyer may choose to utilize our marketplace’s CNC manufacturing processes to manufacture a discrete component for a prototype and then may choose to later use our marketplace to mass produce that same component. A buyer may also recommend our marketplace to other engineers within their organizations who are designing other products and who may use an entirely different set of manufacturing processes, deepening our reach and stickiness with an account.</w:t>
      </w:r>
    </w:p>
    <w:p>
      <w:pPr>
        <w:spacing w:after="0" w:line="147"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For the quarter ended September 30, 2026, 98% of our revenue was generated from existing accounts. We believe the repeat purchase activity from existing accounts reflects the underlying strength of our business and provides us with substantial revenue visibility and predictability.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88265</wp:posOffset>
            </wp:positionV>
            <wp:extent cx="4371975" cy="43719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371975" cy="437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with Last Twelve-Month Spend of at Least $50,000</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Accounts with Last Twelve-Month, or LTM, Spend of at Least $50,000 means an account that has spent at least $50,000 on our marketplace in the most recent twelve-month period. We view the acquisition of an account as a foundation for the addition of long-term buyers to our marketplace. Once an account joins our platform, we aim to expand the relationship and increase engagement and spending activities from that account over time. The number of accounts with LTM Spend of at Least $50,000 on our platform reached 2,172 as of September 30, 2026, up 26% from 1,724 as of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108585</wp:posOffset>
            </wp:positionV>
            <wp:extent cx="4371975" cy="437197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371975" cy="437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0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Adjusted EBITDA and Non-GAAP Net Income are non-GAAP financial measures that we use, in addition to our GAAP financial measures, to evaluate our business. We have included Adjusted EBITDA and Non-GAAP Net Income in this filing because they are key measures used by our management to evaluate our operating performance. Accordingly, we believe that Adjusted EBITDA and Non-GAAP Net Income provide useful information to investors and others in understanding and evaluating our operating results in the same manner as our management team and board of directors. Our calculation of Adjusted EBITDA and Non-GAAP Net Income may differ from similarly titled non-GAAP measures, if any, reported by our peer companies and therefore may not serve as an accurate basis of comparison among companies. Adjusted EBITDA and Non-GAAP Net Income should not be considered in isolation from, or as a substitute for, financial information prepared in accordance with GAAP.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8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define Adjusted EBITDA as net loss, adjusted for interest expense, interest and dividend income and other expenses, depreciation and amortization, amortization of lease intangible, provision for (benefit from) income taxes, stock-based compensation, payroll tax expense related to stock-based compensation, charitable contributions of common stock, income from unconsolidated joint venture, impairment of assets, restructuring charges, and acquisition and other adjustments not reflective of our ongoing business, such as adjustments related to purchase accounting, the revaluation of contingent consideration, transaction costs and executive severance. Adjusted EBITDA is a performance measure that we use to assess our operating performance and the operating leverage in our business. Adjusted EBITDA Margin is calculated by dividing Adjusted EBITDA for a period by revenue for the same period.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22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2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73"/>
        </w:trPr>
        <w:tc>
          <w:tcPr>
            <w:tcW w:w="5440" w:type="dxa"/>
            <w:vAlign w:val="bottom"/>
          </w:tcPr>
          <w:p>
            <w:pPr>
              <w:spacing w:after="0"/>
              <w:rPr>
                <w:sz w:val="15"/>
                <w:szCs w:val="15"/>
                <w:color w:val="auto"/>
              </w:rPr>
            </w:pPr>
          </w:p>
        </w:tc>
        <w:tc>
          <w:tcPr>
            <w:tcW w:w="222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42"/>
        </w:trPr>
        <w:tc>
          <w:tcPr>
            <w:tcW w:w="54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20" w:type="dxa"/>
            <w:vAlign w:val="bottom"/>
            <w:tcBorders>
              <w:top w:val="single" w:sz="8" w:color="auto"/>
              <w:bottom w:val="single" w:sz="8" w:color="auto"/>
            </w:tcBorders>
            <w:gridSpan w:val="2"/>
          </w:tcPr>
          <w:p>
            <w:pPr>
              <w:jc w:val="right"/>
              <w:ind w:right="43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0" w:type="dxa"/>
            <w:vAlign w:val="bottom"/>
            <w:shd w:val="clear" w:color="auto" w:fill="CFF0FC"/>
          </w:tcPr>
          <w:p>
            <w:pPr>
              <w:jc w:val="right"/>
              <w:ind w:right="64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(11,597)</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(8,638)</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(53,110)</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Add (deduct):</w:t>
            </w: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interest and dividend income and other expenses</w:t>
            </w:r>
          </w:p>
        </w:tc>
        <w:tc>
          <w:tcPr>
            <w:tcW w:w="8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(2,395)</w:t>
            </w:r>
          </w:p>
        </w:tc>
        <w:tc>
          <w:tcPr>
            <w:tcW w:w="6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(2,788)</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16,939</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13,741</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lease intangible</w:t>
            </w:r>
          </w:p>
        </w:tc>
        <w:tc>
          <w:tcPr>
            <w:tcW w:w="8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from income taxes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11,288</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30,961</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25,985</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Payroll tax expense related to stock-based compensation</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and other</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Charitable contribution of common stock</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8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(187)</w:t>
            </w:r>
          </w:p>
        </w:tc>
        <w:tc>
          <w:tcPr>
            <w:tcW w:w="6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(220)</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(588)</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(544)</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8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shd w:val="clear" w:color="auto" w:fill="CFF0FC"/>
          </w:tcPr>
          <w:p>
            <w:pPr>
              <w:spacing w:after="0"/>
              <w:rPr>
                <w:sz w:val="18"/>
                <w:szCs w:val="18"/>
                <w:color w:val="auto"/>
              </w:rPr>
            </w:pPr>
          </w:p>
        </w:tc>
      </w:tr>
      <w:tr>
        <w:trPr>
          <w:trHeight w:val="210"/>
        </w:trPr>
        <w:tc>
          <w:tcPr>
            <w:tcW w:w="5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800" w:type="dxa"/>
            <w:vAlign w:val="bottom"/>
            <w:tcBorders>
              <w:top w:val="single" w:sz="8" w:color="auto"/>
              <w:bottom w:val="single" w:sz="8" w:color="auto"/>
            </w:tcBorders>
          </w:tcPr>
          <w:p>
            <w:pPr>
              <w:jc w:val="right"/>
              <w:ind w:right="64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21,423</w:t>
            </w:r>
          </w:p>
        </w:tc>
        <w:tc>
          <w:tcPr>
            <w:tcW w:w="240" w:type="dxa"/>
            <w:vAlign w:val="bottom"/>
            <w:tcBorders>
              <w:top w:val="single" w:sz="8" w:color="CFF0FC"/>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46,050</w:t>
            </w: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100" w:type="dxa"/>
            <w:vAlign w:val="bottom"/>
            <w:tcBorders>
              <w:top w:val="single" w:sz="8" w:color="CFF0FC"/>
            </w:tcBorders>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-170815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-170815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2026, Adjusted EBITDA was $21.4 million, as compared to Adjusted EBITDA of $6.1 million for the same quarter in 2025. For the three months ended September 30, 2026, Adjusted EBITDA Margin was 8.5% of revenue, as compared to 3.4% of revenue for the same quarter in 2025.</w:t>
      </w:r>
    </w:p>
    <w:p>
      <w:pPr>
        <w:spacing w:after="0" w:line="13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Adjusted EBITDA was $46.1 million, as compared to Adjusted EBITDA of $10.1 million for the same period in 2025. For the nine months ended September 30, 2026, Adjusted EBITDA margin was 6.7% of revenue, as compared to 2.1% of revenue for the same period in 2025.</w:t>
      </w:r>
    </w:p>
    <w:p>
      <w:pPr>
        <w:spacing w:after="0" w:line="14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increase in Adjusted EBITDA for each of these periods was driven by strong marketplace gross profit growth and significant operating expense leverage.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define Non-GAAP Net Income, as net loss adjusted for stock-based compensation, payroll tax expense related to stock-based compensation, amortization of lease intangible, amortization of deferred costs on convertible notes, charitable contributions of common stock, lease termination, impairment of assets, restructuring charges, loss on debt extinguishment, amortization of acquired intangible assets &amp; patents, other amortization and acquisition and other adjustments not reflective of our ongoing business, such as adjustments related to purchase accounting, the revaluation of contingent consideration, transaction costs and executive severance.</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Effective January 1, 2026, we revised our definition of Non-GAAP Net Income to exclude depreciation expense which had previously been included as an adjustment. Management believes this revised definition provides a more representative view of our core operating performance. All prior-period amounts have been recast to conform to this new definition.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220" w:type="dxa"/>
            <w:vAlign w:val="bottom"/>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2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73"/>
        </w:trPr>
        <w:tc>
          <w:tcPr>
            <w:tcW w:w="18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22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3"/>
          </w:tcPr>
          <w:p>
            <w:pPr>
              <w:jc w:val="right"/>
              <w:ind w:right="43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440" w:type="dxa"/>
            <w:vAlign w:val="bottom"/>
            <w:gridSpan w:val="2"/>
            <w:vMerge w:val="continue"/>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880" w:type="dxa"/>
            <w:vAlign w:val="bottom"/>
            <w:tcBorders>
              <w:top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0" w:type="dxa"/>
            <w:vAlign w:val="bottom"/>
            <w:shd w:val="clear" w:color="auto" w:fill="CFF0FC"/>
          </w:tcPr>
          <w:p>
            <w:pPr>
              <w:jc w:val="right"/>
              <w:ind w:right="64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90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(11,597)</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(8,638)</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(53,110)</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(deduct):</w:t>
            </w: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11,288</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30,961</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Payroll tax expense related to stock-based compensation</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lease intangible</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deferred costs on convertible notes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and other</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Charitable contribution of common stock</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termination</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 &amp; patents</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amortization</w:t>
            </w: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800" w:type="dxa"/>
            <w:vAlign w:val="bottom"/>
            <w:tcBorders>
              <w:bottom w:val="single" w:sz="8" w:color="auto"/>
            </w:tcBorders>
            <w:shd w:val="clear" w:color="auto" w:fill="CFF0FC"/>
          </w:tcPr>
          <w:p>
            <w:pPr>
              <w:jc w:val="right"/>
              <w:ind w:right="64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18,561</w:t>
            </w:r>
          </w:p>
        </w:tc>
        <w:tc>
          <w:tcPr>
            <w:tcW w:w="24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35,362</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-24765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2026, Non-GAAP net income was $18.6 million, as compared to Non-GAAP net income of $2.1 million for the same quarter in 2025. For the three months ended September 30, 2026, Non-GAAP net income was 7.4% of revenue, as compared to 1.2% of revenue for the same quarter in 2025.</w:t>
      </w:r>
    </w:p>
    <w:p>
      <w:pPr>
        <w:spacing w:after="0" w:line="135"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Non-GAAP net income was $35.4 million, as compared to Non-GAAP net income of $0.7 million for the same period in 2025. For the nine months ended September 30, 2026, Non-GAAP net income was 5.1% of revenue, as compared to 0.1% of revenue for the same period in 2025.</w:t>
      </w:r>
    </w:p>
    <w:p>
      <w:pPr>
        <w:spacing w:after="0" w:line="1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marketplace revenue is primarily comprised of sales of parts and assemblies to customers through our platform. Buyers purchase specialized CNC manufacturing, sheet metal manufacturing, 3D printing, injection molding, urethane casting, stamping, extrusions, tube cutting, tube bending and finishing services. Customer purchases range from rapid prototyping of single parts to high-volume production on our marketplace. These products are primarily manufactured by our network of suppliers.</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Services revenue includes the sale of marketing and advertising services and financial service products.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Marketplace cost of revenue primarily consists of the cost to us of the products that are manufactured or produced by us or our suppliers for delivery to buyers on our platform, internal and external production costs, shipping costs and certain internal depreciation. We expect the cost of revenue to increase in absolute dollars to the extent our revenue increases and transaction volume increases. As we grow and add suppliers to our platform, we are able to improve our pricing efficiency and we expect cost of revenue to decline as a percentage of revenue over time.</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Services cost of revenue primarily consists of internal and external production costs and website hosting.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Gross profit, or revenue less cost of revenue, is primarily affected by the growth of our revenue and the mix of our business between marketplace and services. Marketplace gross margin is our economic value driven by the spread between the price to the buyer and the cost to the supplier. The price to the buyer is primarily driven by AI through our instant quoting engine which utilizes machine learning and our proprietary data to make price predictions. The cost to the supplier is driven by an AI powered matching algorithm which finds the optimal supplier match in our network.</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Our operating expenses consist of sales and marketing, operations and support, product development, general and administrative functions and impairment of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8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Sales and marketing expenses are expensed as incurred and include the costs of our digital marketing strategies, branding costs and other advertising costs, restructuring charges, certain depreciation and amortization expense, contract acquisition costs and compensation expenses, including stock-based compensation for our sales and marketing employees. We intend to continue to invest in our sales and marketing capabilities in the future to continue to increase our brand awareness, add new accounts and further penetrate existing accounts. We expect sales and marketing expense to increase in absolute dollars in the future as we grow our business but decrease over time as a percentage of revenue. Sales and marketing expenses may fluctuate from period to period based on the timing of our investments, which may vary in scope and scale over future periods.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Support</w:t>
      </w:r>
    </w:p>
    <w:p>
      <w:pPr>
        <w:spacing w:after="0" w:line="18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Operations and support expenses are the costs we incur in support of the buyers and suppliers on our platform which are provided by phone, email and chat for purposes of resolving buyer and suppliers related matters. These costs primarily consist of compensation expenses of the support staff, including stock-based compensation, restructuring charges, certain depreciation and amortization expense and software costs used in delivering buyer and suppliers services. We expect operations and support expenses to increase in absolute dollars in the future as we grow our business but decrease over time as a percentage of revenue. Operations and support expenses may fluctuate from period to period based on the timing of our investments, which may vary in scope and scale over future periods.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20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Product development costs that are not eligible for capitalization are expensed as incurred. These costs primarily consist of compensation expenses, including stock-based compensation expenses to our employees performing these functions, restructuring charges and certain depreciation and amortization expense. We expect product development expense to increase in absolute dollars in the future as we grow our business but decrease over time as a percentage of revenue. Product development expenses may fluctuate from period to period based on the timing of our investments, which may vary in scope and scale over future periods.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primarily consist of compensation expenses, including stock-based compensation expenses, for executive, finance, legal and other administrative personnel, provision for bad debt, professional service fees, facilities cost, restructuring charges and certain depreciation and amortization expense. We expect general and administrative expenses to increase in absolute dollars in the future as we grow our business but decrease over time as a percentage of revenue. General and administrative expenses may fluctuate from period to period due to the timing of our investments, which may vary in scope and scale over future periods.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Income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expense consists of interest incurred on our outstanding borrowings under our outstanding convertible notes or other borrowings.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and dividend income consists of interest and dividends on our cash, cash equivalents and marketable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expenses consist primarily of realized foreign exchange gains and/or losses, non-income based taxes and other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Unconsolidated Joint Venture</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Income from unconsolidated joint venture consists of our share of the joint venture’s income.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benefit for Income Taxes</w:t>
      </w:r>
    </w:p>
    <w:p>
      <w:pPr>
        <w:spacing w:after="0" w:line="200" w:lineRule="exact"/>
        <w:rPr>
          <w:sz w:val="20"/>
          <w:szCs w:val="20"/>
          <w:color w:val="auto"/>
        </w:rPr>
      </w:pPr>
    </w:p>
    <w:p>
      <w:pPr>
        <w:jc w:val="center"/>
        <w:ind w:right="2660"/>
        <w:spacing w:after="0"/>
        <w:rPr>
          <w:sz w:val="20"/>
          <w:szCs w:val="20"/>
          <w:color w:val="auto"/>
        </w:rPr>
      </w:pPr>
      <w:r>
        <w:rPr>
          <w:rFonts w:ascii="Times New Roman" w:cs="Times New Roman" w:eastAsia="Times New Roman" w:hAnsi="Times New Roman"/>
          <w:sz w:val="18"/>
          <w:szCs w:val="18"/>
          <w:color w:val="auto"/>
        </w:rPr>
        <w:t>Provision for income taxes primarily consists of income based taxes primarily from International operations.</w:t>
      </w:r>
    </w:p>
    <w:p>
      <w:pPr>
        <w:spacing w:after="0" w:line="1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2026 and 2025</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our unaudited statements of operations data for the periods indicated (in thousands):</w:t>
      </w:r>
    </w:p>
    <w:p>
      <w:pPr>
        <w:spacing w:after="0" w:line="178"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-3175</wp:posOffset>
            </wp:positionV>
            <wp:extent cx="24688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56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252,439</w:t>
            </w:r>
          </w:p>
        </w:tc>
        <w:tc>
          <w:tcPr>
            <w:tcW w:w="1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98,680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35,571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Operations and support</w:t>
            </w:r>
          </w:p>
        </w:tc>
        <w:tc>
          <w:tcPr>
            <w:tcW w:w="2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2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Impairment of assets</w:t>
            </w:r>
          </w:p>
        </w:tc>
        <w:tc>
          <w:tcPr>
            <w:tcW w:w="2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60" w:type="dxa"/>
            <w:vAlign w:val="bottom"/>
            <w:tcBorders>
              <w:top w:val="single" w:sz="8" w:color="CFF0FC"/>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98,623</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83,088</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(11,059)</w:t>
            </w: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2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30"/>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expenses</w:t>
            </w:r>
          </w:p>
        </w:tc>
        <w:tc>
          <w:tcPr>
            <w:tcW w:w="2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r>
        <w:trPr>
          <w:trHeight w:val="216"/>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24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(loss)</w:t>
            </w:r>
          </w:p>
        </w:tc>
        <w:tc>
          <w:tcPr>
            <w:tcW w:w="2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0"/>
        </w:trPr>
        <w:tc>
          <w:tcPr>
            <w:tcW w:w="4780" w:type="dxa"/>
            <w:vAlign w:val="bottom"/>
            <w:shd w:val="clear" w:color="auto" w:fill="CFF0FC"/>
          </w:tcPr>
          <w:p>
            <w:pPr>
              <w:spacing w:after="0" w:line="20" w:lineRule="exact"/>
              <w:rPr>
                <w:sz w:val="1"/>
                <w:szCs w:val="1"/>
                <w:color w:val="auto"/>
              </w:rPr>
            </w:pPr>
          </w:p>
        </w:tc>
        <w:tc>
          <w:tcPr>
            <w:tcW w:w="246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(11,614)</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(Provision) benefit from income taxes</w:t>
            </w:r>
          </w:p>
        </w:tc>
        <w:tc>
          <w:tcPr>
            <w:tcW w:w="2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shd w:val="clear" w:color="auto" w:fill="CFF0FC"/>
          </w:tcPr>
          <w:p>
            <w:pPr>
              <w:spacing w:after="0" w:line="20" w:lineRule="exact"/>
              <w:rPr>
                <w:sz w:val="1"/>
                <w:szCs w:val="1"/>
                <w:color w:val="auto"/>
              </w:rPr>
            </w:pPr>
          </w:p>
        </w:tc>
        <w:tc>
          <w:tcPr>
            <w:tcW w:w="246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(11,597)</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24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356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80" w:type="dxa"/>
            <w:vAlign w:val="bottom"/>
          </w:tcPr>
          <w:p>
            <w:pPr>
              <w:spacing w:after="0"/>
              <w:rPr>
                <w:sz w:val="18"/>
                <w:szCs w:val="18"/>
                <w:color w:val="auto"/>
              </w:rPr>
            </w:pP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(11,597)</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460" w:type="dxa"/>
            <w:vAlign w:val="bottom"/>
            <w:vMerge w:val="restart"/>
          </w:tcPr>
          <w:p>
            <w:pPr>
              <w:jc w:val="right"/>
              <w:ind w:right="1430"/>
              <w:spacing w:after="0"/>
              <w:rPr>
                <w:sz w:val="20"/>
                <w:szCs w:val="20"/>
                <w:color w:val="auto"/>
              </w:rPr>
            </w:pPr>
            <w:r>
              <w:rPr>
                <w:rFonts w:ascii="Times New Roman" w:cs="Times New Roman" w:eastAsia="Times New Roman" w:hAnsi="Times New Roman"/>
                <w:sz w:val="18"/>
                <w:szCs w:val="18"/>
                <w:color w:val="auto"/>
              </w:rPr>
              <w:t>33</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78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-2759710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-2759710</wp:posOffset>
            </wp:positionV>
            <wp:extent cx="7747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-1593850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-1593850</wp:posOffset>
            </wp:positionV>
            <wp:extent cx="7747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-1302385</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-1302385</wp:posOffset>
            </wp:positionV>
            <wp:extent cx="7747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-1010920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-1010920</wp:posOffset>
            </wp:positionV>
            <wp:extent cx="7747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our unaudited statements of operations data expressed as a percentage of total revenue for the periods indicated:</w:t>
      </w:r>
    </w:p>
    <w:p>
      <w:pPr>
        <w:spacing w:after="0" w:line="192"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4"/>
          <w:szCs w:val="14"/>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-3175</wp:posOffset>
            </wp:positionV>
            <wp:extent cx="253746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20" w:type="dxa"/>
            <w:vAlign w:val="bottom"/>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4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r>
      <w:tr>
        <w:trPr>
          <w:trHeight w:val="209"/>
        </w:trPr>
        <w:tc>
          <w:tcPr>
            <w:tcW w:w="8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2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60.9%</w:t>
            </w:r>
          </w:p>
        </w:tc>
        <w:tc>
          <w:tcPr>
            <w:tcW w:w="2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60.1%</w:t>
            </w:r>
          </w:p>
        </w:tc>
      </w:tr>
      <w:tr>
        <w:trPr>
          <w:trHeight w:val="20"/>
        </w:trPr>
        <w:tc>
          <w:tcPr>
            <w:tcW w:w="70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39.1%</w:t>
            </w:r>
          </w:p>
        </w:tc>
        <w:tc>
          <w:tcPr>
            <w:tcW w:w="2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39.9%</w:t>
            </w: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14.1%</w:t>
            </w:r>
          </w:p>
        </w:tc>
        <w:tc>
          <w:tcPr>
            <w:tcW w:w="2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Operations and support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w:t>
            </w:r>
          </w:p>
        </w:tc>
        <w:tc>
          <w:tcPr>
            <w:tcW w:w="2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8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6.4%</w:t>
            </w:r>
          </w:p>
        </w:tc>
        <w:tc>
          <w:tcPr>
            <w:tcW w:w="2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w:t>
            </w:r>
          </w:p>
        </w:tc>
        <w:tc>
          <w:tcPr>
            <w:tcW w:w="2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Impairment of assets</w:t>
            </w:r>
          </w:p>
        </w:tc>
        <w:tc>
          <w:tcPr>
            <w:tcW w:w="1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09"/>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39.1%</w:t>
            </w:r>
          </w:p>
        </w:tc>
        <w:tc>
          <w:tcPr>
            <w:tcW w:w="2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46.0%</w:t>
            </w:r>
          </w:p>
        </w:tc>
      </w:tr>
      <w:tr>
        <w:trPr>
          <w:trHeight w:val="20"/>
        </w:trPr>
        <w:tc>
          <w:tcPr>
            <w:tcW w:w="70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c>
          <w:tcPr>
            <w:tcW w:w="2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2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expenses</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2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1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2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70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(loss)</w:t>
            </w:r>
          </w:p>
        </w:tc>
        <w:tc>
          <w:tcPr>
            <w:tcW w:w="1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2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70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(Provision) benefit from income taxes</w:t>
            </w:r>
          </w:p>
        </w:tc>
        <w:tc>
          <w:tcPr>
            <w:tcW w:w="1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2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09"/>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0.8%</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1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0.8%</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70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-1859280</wp:posOffset>
            </wp:positionV>
            <wp:extent cx="14605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-1859280</wp:posOffset>
            </wp:positionV>
            <wp:extent cx="14541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-736600</wp:posOffset>
            </wp:positionV>
            <wp:extent cx="14605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-736600</wp:posOffset>
            </wp:positionV>
            <wp:extent cx="14541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-453390</wp:posOffset>
            </wp:positionV>
            <wp:extent cx="14605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-453390</wp:posOffset>
            </wp:positionV>
            <wp:extent cx="14541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-170815</wp:posOffset>
            </wp:positionV>
            <wp:extent cx="14605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14541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13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disaggregated revenue and cost of revenue. Revenue from our marketplace primarily reflects the sales of parts and assemblies on our platform. Revenue from services includes the sale of advertising and financial service products.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Revenue and cost of revenue is presented in the following tables for the three months ended September 30, 2026 and 2025 (in thousands):</w:t>
      </w:r>
    </w:p>
    <w:p>
      <w:pPr>
        <w:spacing w:after="0" w:line="192"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-3175</wp:posOffset>
            </wp:positionV>
            <wp:extent cx="24942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Marketplace</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14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100" w:type="dxa"/>
            <w:vAlign w:val="bottom"/>
            <w:shd w:val="clear" w:color="auto" w:fill="CFF0FC"/>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238,004</w:t>
            </w: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166,592</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152,306</w:t>
            </w:r>
          </w:p>
        </w:tc>
        <w:tc>
          <w:tcPr>
            <w:tcW w:w="3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107,086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Borders>
              <w:bottom w:val="single" w:sz="8" w:color="auto"/>
            </w:tcBorders>
            <w:shd w:val="clear" w:color="auto" w:fill="CFF0FC"/>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85,698</w:t>
            </w:r>
          </w:p>
        </w:tc>
        <w:tc>
          <w:tcPr>
            <w:tcW w:w="3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59,506</w:t>
            </w:r>
          </w:p>
        </w:tc>
        <w:tc>
          <w:tcPr>
            <w:tcW w:w="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36.0%</w:t>
            </w:r>
          </w:p>
        </w:tc>
        <w:tc>
          <w:tcPr>
            <w:tcW w:w="4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414"/>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100" w:type="dxa"/>
            <w:vAlign w:val="bottom"/>
            <w:shd w:val="clear" w:color="auto" w:fill="CFF0FC"/>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14,435</w:t>
            </w: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14,123</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3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Borders>
              <w:bottom w:val="single" w:sz="8" w:color="auto"/>
            </w:tcBorders>
            <w:shd w:val="clear" w:color="auto" w:fill="CFF0FC"/>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12,982</w:t>
            </w:r>
          </w:p>
        </w:tc>
        <w:tc>
          <w:tcPr>
            <w:tcW w:w="3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12,523</w:t>
            </w:r>
          </w:p>
        </w:tc>
        <w:tc>
          <w:tcPr>
            <w:tcW w:w="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89.9%</w:t>
            </w:r>
          </w:p>
        </w:tc>
        <w:tc>
          <w:tcPr>
            <w:tcW w:w="4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-1031240</wp:posOffset>
            </wp:positionV>
            <wp:extent cx="1111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-1014095</wp:posOffset>
            </wp:positionV>
            <wp:extent cx="1111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-1031240</wp:posOffset>
            </wp:positionV>
            <wp:extent cx="11176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-1014095</wp:posOffset>
            </wp:positionV>
            <wp:extent cx="11176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-173990</wp:posOffset>
            </wp:positionV>
            <wp:extent cx="1111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-156845</wp:posOffset>
            </wp:positionV>
            <wp:extent cx="11112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-173990</wp:posOffset>
            </wp:positionV>
            <wp:extent cx="11176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-156845</wp:posOffset>
            </wp:positionV>
            <wp:extent cx="11176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Total revenue increased $71.7 million, or 40%, from $180.7 million for the three months ended September 30, 2025 to $252.4 million for the three months ended September 30, 2026. This growth was primarily a result of an increase in marketplace revenue. Marketplace revenue increased $71.4 million, or 43%, from $166.6 million for the three months ended September 30, 2025 to $238.0 million for the three months ended September 30, 2026. The increase in marketplace revenue was primarily due to increased buyer activity on the platform, particularly with respect to enterprise customers, for the three months ended September 30, 2026 as compared to the prior year period.</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16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Services revenue increased $0.3 million, or 2%, from $14.1 million for the three months ended September 30, 2025 to $14.4 million for the three months ended September 30, 2026.</w:t>
      </w:r>
    </w:p>
    <w:p>
      <w:pPr>
        <w:spacing w:after="0" w:line="13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Total revenue for the three months ended September 30, 2026 and 2025 was $213.4 million and $151.1 million, respectively, for the U.S. reportable segment and $39.0 million and $29.6 million, respectively, for the International reportable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Total cost of revenue increased $45.1 million, or 41%, from $108.7 million for the three months ended September 30, 2025 to $153.8 million for the three months ended September 30, 2026. This increase was primarily the result of an increase in marketplace cost of revenue. Total cost of revenue from marketplace and services for the three months ended September 30, 2026 was $152.3 million and $1.5 million, respectively, as compared to $107.1 million and $1.6 million, respectively, for the three months ended September 30, 2025.</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Marketplace cost of revenue was driven by order growth and increased activity on our marketplace.</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cost of revenue for the three months ended September 30, 2026 and 2025 was $130.6 million and $90.9 million, respectively for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reportable segment, and $23.2 million and $17.8 million, respectively, for the International reportable segment.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20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Gross profit increased $26.7 million, or 37%, from $72.0 million for the three months ended September 30, 2025 to $98.7 million for the three months ended September 30, 2026. The increase in gross profit was primarily due to increases in revenue from marketplace as compared to the prior year period.</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gross margin was 39.1% for the three months ended September 30, 2026 as compared to 39.9% for the three months ended September 30,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driven by faster growth and associated mix shift to marketplace revenue which has lower gross margin than services.</w:t>
      </w:r>
    </w:p>
    <w:p>
      <w:pPr>
        <w:spacing w:after="0" w:line="16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Gross margin for marketplace was 36.0% for the three months ended September 30, 2026, as compared to 35.7% for the three months ended September 30, 2025. The improvement was due largely to our AI-driven platform and expanding network of active suppliers which optimize pricing to buyers and suppliers.</w:t>
      </w:r>
    </w:p>
    <w:p>
      <w:pPr>
        <w:spacing w:after="0" w:line="14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Gross margin for services was 89.9% for the three months ended September 30, 2026, as compared to 88.7% for the three months ended September 30,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Sales and marketing expense increased $2.9 million, or 9%, from $32.6 million for the three months ended September 30, 2025 to $35.6 million for the three months ended September 30, 2026, primarily due to increases in employee compensation and benefit costs due to increased headcount and commission expenses, partially offset by decreases in consulting expenses, stock-based compensation, and marketing and advertising spend. As a percent of total revenue, sales and marketing expenses decreased to 14.1% for the three months ended September 30, 2026 from 18.1% for the three months ended September 30, 2025.</w:t>
      </w:r>
    </w:p>
    <w:p>
      <w:pPr>
        <w:spacing w:after="0" w:line="143"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Advertising expense decreased $0.4 million, from $9.2 million for the three months ended September 30, 2025 to $8.8 million for the three months ended September 30, 2026, primarily due to decreased marketplace advertising.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 and Support</w:t>
      </w:r>
    </w:p>
    <w:p>
      <w:pPr>
        <w:spacing w:after="0" w:line="20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Operations and support expense increased $4.9 million, or 26%, from $18.4 million for the three months ended September 30, 2025 to $23.3 million for the three months ended September 30, 2026, primarily due to increases in employee compensation and benefit costs due to increased headcount, bonus expense and restructuring costs, partially offset by decreases in stock-based compensation and consulting expenses. As a percent of total revenue, operations and support expenses decreased to 9.2% for the three months ended September 30, 2026 from 10.2% for the three months ended September 30,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Product development expense increased $3.6 million, or 29%, from $12.5 million for the three months ended September 30, 2025 to $16.1 million for the three months ended September 30, 2026, primarily as a result of increases in software costs, depreciation and amortization, employee compensation and benefit costs and restructuring costs, partially offset by decreases in stock-based</w:t>
      </w:r>
    </w:p>
    <w:p>
      <w:pPr>
        <w:sectPr>
          <w:pgSz w:w="11900" w:h="16838" w:orient="portrait"/>
          <w:cols w:equalWidth="0" w:num="1">
            <w:col w:w="11240"/>
          </w:cols>
          <w:pgMar w:left="320" w:top="769" w:right="339" w:bottom="1440" w:gutter="0" w:footer="0" w:header="0"/>
        </w:sect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compensation capitalized to software development and consulting expenses. As a percent of total revenue, product development expenses decreased to 6.4% for the three months ended September 30, 2026, as compared to 6.9% for the three months ended September 30,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increased $4.2 million, or 22%, from $19.5 million for the three months ended September 30, 2025 to $23.7 million for the three months ended September 30, 2026, primarily driven by increases in stock-based compensation, employee compensation and benefit costs, including bonus expense, and the costs of charitable contributions of Class A common stock, partially offset by decreases in software costs and reserves for bad debt. As a percent of total revenue, general and administrative expenses decreased to 9.4% for the three months ended September 30, 2026 from 10.8% for the three months ended September 30,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Income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expense remained flat at approximately $1.3 million for the three months ended September 30, 2026 and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w:t>
      </w:r>
    </w:p>
    <w:p>
      <w:pPr>
        <w:spacing w:after="0" w:line="20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Interest and dividend income increased $2.3 million, or 108%, from $2.1 million for the three months ended September 30, 2025 to $4.4 million for the three months ended September 30, 2026. The increase was primarily due to higher investment balances in marketable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18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Other expenses decreased by $0.8 million, from $1.6 million for the three months ended September 30, 2025 to $0.8 million for the three months ended September 30, 2026. The decrease was primarily due to higher non-income based taxes in the three months ended September 30, 2025.</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from Unconsolidated Joint Venture</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Income from unconsolidated joint venture remained flat at approximately $0.2 million for the three months ended September 30, 2026 and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benefit from income taxes</w:t>
      </w:r>
    </w:p>
    <w:p>
      <w:pPr>
        <w:spacing w:after="0" w:line="200"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Provision from income taxes increased by $0.7 million, from a benefit of less than $(0.1) million to $0.7 million for the three months ended September 30, 2026. The increase was due to higher international income based tax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Segment Considerations</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Segment Adjusted EBITDA from our U.S. reportable segment for the three months ended September 30, 2026 and 2025 was $22.0 million and $10.3 million, respectively. Segment Adjusted EBITDA from our International reportable segment for the three months ended September 30, 2026 and 2025 was $(0.6) million and $(4.2) million, respectively.</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1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2026 and 2025</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our unaudited statements of operations data for the periods indicated (in thousands):</w:t>
      </w:r>
    </w:p>
    <w:p>
      <w:pPr>
        <w:spacing w:after="0" w:line="178"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-3175</wp:posOffset>
            </wp:positionV>
            <wp:extent cx="24688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92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686,857</w:t>
            </w:r>
          </w:p>
        </w:tc>
        <w:tc>
          <w:tcPr>
            <w:tcW w:w="1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494,234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422,536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264,321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8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101,124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88,866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Operations and support</w:t>
            </w:r>
          </w:p>
        </w:tc>
        <w:tc>
          <w:tcPr>
            <w:tcW w:w="2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28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40,510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Impairment of assets</w:t>
            </w:r>
          </w:p>
        </w:tc>
        <w:tc>
          <w:tcPr>
            <w:tcW w:w="28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20" w:type="dxa"/>
            <w:vAlign w:val="bottom"/>
            <w:tcBorders>
              <w:top w:val="single" w:sz="8" w:color="CFF0FC"/>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275,029</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230,276</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(10,708)</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(36,740)</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2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(3,774)</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(3,648)</w:t>
            </w:r>
          </w:p>
        </w:tc>
        <w:tc>
          <w:tcPr>
            <w:tcW w:w="0" w:type="dxa"/>
            <w:vAlign w:val="bottom"/>
          </w:tcPr>
          <w:p>
            <w:pPr>
              <w:spacing w:after="0"/>
              <w:rPr>
                <w:sz w:val="1"/>
                <w:szCs w:val="1"/>
                <w:color w:val="auto"/>
              </w:rPr>
            </w:pPr>
          </w:p>
        </w:tc>
      </w:tr>
      <w:tr>
        <w:trPr>
          <w:trHeight w:val="216"/>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expenses</w:t>
            </w:r>
          </w:p>
        </w:tc>
        <w:tc>
          <w:tcPr>
            <w:tcW w:w="28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(19,882)</w:t>
            </w:r>
          </w:p>
        </w:tc>
        <w:tc>
          <w:tcPr>
            <w:tcW w:w="0" w:type="dxa"/>
            <w:vAlign w:val="bottom"/>
          </w:tcPr>
          <w:p>
            <w:pPr>
              <w:spacing w:after="0"/>
              <w:rPr>
                <w:sz w:val="1"/>
                <w:szCs w:val="1"/>
                <w:color w:val="auto"/>
              </w:rPr>
            </w:pPr>
          </w:p>
        </w:tc>
      </w:tr>
      <w:tr>
        <w:trPr>
          <w:trHeight w:val="216"/>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28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28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(16,395)</w:t>
            </w:r>
          </w:p>
        </w:tc>
        <w:tc>
          <w:tcPr>
            <w:tcW w:w="0" w:type="dxa"/>
            <w:vAlign w:val="bottom"/>
          </w:tcPr>
          <w:p>
            <w:pPr>
              <w:spacing w:after="0"/>
              <w:rPr>
                <w:sz w:val="1"/>
                <w:szCs w:val="1"/>
                <w:color w:val="auto"/>
              </w:rPr>
            </w:pPr>
          </w:p>
        </w:tc>
      </w:tr>
      <w:tr>
        <w:trPr>
          <w:trHeight w:val="20"/>
        </w:trPr>
        <w:tc>
          <w:tcPr>
            <w:tcW w:w="4420" w:type="dxa"/>
            <w:vAlign w:val="bottom"/>
            <w:shd w:val="clear" w:color="auto" w:fill="CFF0FC"/>
          </w:tcPr>
          <w:p>
            <w:pPr>
              <w:spacing w:after="0" w:line="20" w:lineRule="exact"/>
              <w:rPr>
                <w:sz w:val="1"/>
                <w:szCs w:val="1"/>
                <w:color w:val="auto"/>
              </w:rPr>
            </w:pPr>
          </w:p>
        </w:tc>
        <w:tc>
          <w:tcPr>
            <w:tcW w:w="28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(7,332)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(53,135)</w:t>
            </w: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(Provision) benefit from income taxes</w:t>
            </w:r>
          </w:p>
        </w:tc>
        <w:tc>
          <w:tcPr>
            <w:tcW w:w="28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shd w:val="clear" w:color="auto" w:fill="CFF0FC"/>
          </w:tcPr>
          <w:p>
            <w:pPr>
              <w:spacing w:after="0" w:line="20" w:lineRule="exact"/>
              <w:rPr>
                <w:sz w:val="1"/>
                <w:szCs w:val="1"/>
                <w:color w:val="auto"/>
              </w:rPr>
            </w:pPr>
          </w:p>
        </w:tc>
        <w:tc>
          <w:tcPr>
            <w:tcW w:w="28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(8,638)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(53,110)</w:t>
            </w: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8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420" w:type="dxa"/>
            <w:vAlign w:val="bottom"/>
            <w:shd w:val="clear" w:color="auto" w:fill="CFF0FC"/>
          </w:tcPr>
          <w:p>
            <w:pPr>
              <w:spacing w:after="0" w:line="20" w:lineRule="exact"/>
              <w:rPr>
                <w:sz w:val="1"/>
                <w:szCs w:val="1"/>
                <w:color w:val="auto"/>
              </w:rPr>
            </w:pPr>
          </w:p>
        </w:tc>
        <w:tc>
          <w:tcPr>
            <w:tcW w:w="28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92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(8,645)</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(53,109)</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820" w:type="dxa"/>
            <w:vAlign w:val="bottom"/>
            <w:vMerge w:val="restart"/>
          </w:tcPr>
          <w:p>
            <w:pPr>
              <w:jc w:val="right"/>
              <w:ind w:right="1430"/>
              <w:spacing w:after="0"/>
              <w:rPr>
                <w:sz w:val="20"/>
                <w:szCs w:val="20"/>
                <w:color w:val="auto"/>
              </w:rPr>
            </w:pPr>
            <w:r>
              <w:rPr>
                <w:rFonts w:ascii="Times New Roman" w:cs="Times New Roman" w:eastAsia="Times New Roman" w:hAnsi="Times New Roman"/>
                <w:sz w:val="18"/>
                <w:szCs w:val="18"/>
                <w:color w:val="auto"/>
              </w:rPr>
              <w:t>37</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42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-2699385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-2699385</wp:posOffset>
            </wp:positionV>
            <wp:extent cx="7747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-1576705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-1576705</wp:posOffset>
            </wp:positionV>
            <wp:extent cx="7747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-1293495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-1293495</wp:posOffset>
            </wp:positionV>
            <wp:extent cx="7747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-1010920</wp:posOffset>
            </wp:positionV>
            <wp:extent cx="685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-1010920</wp:posOffset>
            </wp:positionV>
            <wp:extent cx="7747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our unaudited statements of operations data expressed as a percentage of total revenue for the periods indicated:</w:t>
      </w:r>
    </w:p>
    <w:p>
      <w:pPr>
        <w:spacing w:after="0" w:line="192"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-3175</wp:posOffset>
            </wp:positionV>
            <wp:extent cx="253746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20" w:type="dxa"/>
            <w:vAlign w:val="bottom"/>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4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r>
      <w:tr>
        <w:trPr>
          <w:trHeight w:val="210"/>
        </w:trPr>
        <w:tc>
          <w:tcPr>
            <w:tcW w:w="8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2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61.5%</w:t>
            </w:r>
          </w:p>
        </w:tc>
        <w:tc>
          <w:tcPr>
            <w:tcW w:w="2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60.8%</w:t>
            </w:r>
          </w:p>
        </w:tc>
      </w:tr>
      <w:tr>
        <w:trPr>
          <w:trHeight w:val="20"/>
        </w:trPr>
        <w:tc>
          <w:tcPr>
            <w:tcW w:w="70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38.5%</w:t>
            </w:r>
          </w:p>
        </w:tc>
        <w:tc>
          <w:tcPr>
            <w:tcW w:w="2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39.2%</w:t>
            </w: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14.7%</w:t>
            </w:r>
          </w:p>
        </w:tc>
        <w:tc>
          <w:tcPr>
            <w:tcW w:w="2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Operations and support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w:t>
            </w:r>
          </w:p>
        </w:tc>
        <w:tc>
          <w:tcPr>
            <w:tcW w:w="2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8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5.9%</w:t>
            </w:r>
          </w:p>
        </w:tc>
        <w:tc>
          <w:tcPr>
            <w:tcW w:w="2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2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Impairment of assets</w:t>
            </w:r>
          </w:p>
        </w:tc>
        <w:tc>
          <w:tcPr>
            <w:tcW w:w="1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40.1%</w:t>
            </w:r>
          </w:p>
        </w:tc>
        <w:tc>
          <w:tcPr>
            <w:tcW w:w="2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46.6%</w:t>
            </w:r>
          </w:p>
        </w:tc>
      </w:tr>
      <w:tr>
        <w:trPr>
          <w:trHeight w:val="20"/>
        </w:trPr>
        <w:tc>
          <w:tcPr>
            <w:tcW w:w="70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2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c>
          <w:tcPr>
            <w:tcW w:w="2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2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expenses</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2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1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2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70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1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0.6%</w:t>
            </w:r>
          </w:p>
        </w:tc>
        <w:tc>
          <w:tcPr>
            <w:tcW w:w="2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70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(Provision) benefit from income taxes</w:t>
            </w:r>
          </w:p>
        </w:tc>
        <w:tc>
          <w:tcPr>
            <w:tcW w:w="1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2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09"/>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09"/>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70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-1859915</wp:posOffset>
            </wp:positionV>
            <wp:extent cx="14605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-1859915</wp:posOffset>
            </wp:positionV>
            <wp:extent cx="14541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-736600</wp:posOffset>
            </wp:positionV>
            <wp:extent cx="14605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-736600</wp:posOffset>
            </wp:positionV>
            <wp:extent cx="14541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-453390</wp:posOffset>
            </wp:positionV>
            <wp:extent cx="14605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-453390</wp:posOffset>
            </wp:positionV>
            <wp:extent cx="14541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-170815</wp:posOffset>
            </wp:positionV>
            <wp:extent cx="14605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14541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3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disaggregated revenue and cost of revenue. Revenue from our marketplace primarily reflects the sales of parts and assemblies on our platform. Revenue from services includes the sale of advertising and financial service products.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Revenue and cost of revenue is presented in the following tables for the nine months ended September 30, 2026 and 2025 (in thousands):</w:t>
      </w:r>
    </w:p>
    <w:p>
      <w:pPr>
        <w:spacing w:after="0" w:line="192"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-3175</wp:posOffset>
            </wp:positionV>
            <wp:extent cx="24942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Marketplace</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14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100" w:type="dxa"/>
            <w:vAlign w:val="bottom"/>
            <w:shd w:val="clear" w:color="auto" w:fill="CFF0FC"/>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644,691</w:t>
            </w: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451,168</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417,787</w:t>
            </w:r>
          </w:p>
        </w:tc>
        <w:tc>
          <w:tcPr>
            <w:tcW w:w="3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295,891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Borders>
              <w:bottom w:val="single" w:sz="8" w:color="auto"/>
            </w:tcBorders>
            <w:shd w:val="clear" w:color="auto" w:fill="CFF0FC"/>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226,904</w:t>
            </w:r>
          </w:p>
        </w:tc>
        <w:tc>
          <w:tcPr>
            <w:tcW w:w="3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155,277</w:t>
            </w:r>
          </w:p>
        </w:tc>
        <w:tc>
          <w:tcPr>
            <w:tcW w:w="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35.2%</w:t>
            </w:r>
          </w:p>
        </w:tc>
        <w:tc>
          <w:tcPr>
            <w:tcW w:w="4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414"/>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100" w:type="dxa"/>
            <w:vAlign w:val="bottom"/>
            <w:shd w:val="clear" w:color="auto" w:fill="CFF0FC"/>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42,166</w:t>
            </w: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43,066</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3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Borders>
              <w:bottom w:val="single" w:sz="8" w:color="auto"/>
            </w:tcBorders>
            <w:shd w:val="clear" w:color="auto" w:fill="CFF0FC"/>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37,417</w:t>
            </w:r>
          </w:p>
        </w:tc>
        <w:tc>
          <w:tcPr>
            <w:tcW w:w="3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38,259</w:t>
            </w:r>
          </w:p>
        </w:tc>
        <w:tc>
          <w:tcPr>
            <w:tcW w:w="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88.7%</w:t>
            </w:r>
          </w:p>
        </w:tc>
        <w:tc>
          <w:tcPr>
            <w:tcW w:w="4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-1031240</wp:posOffset>
            </wp:positionV>
            <wp:extent cx="11112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-1014095</wp:posOffset>
            </wp:positionV>
            <wp:extent cx="11112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-1031240</wp:posOffset>
            </wp:positionV>
            <wp:extent cx="11176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-1014095</wp:posOffset>
            </wp:positionV>
            <wp:extent cx="11176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-173990</wp:posOffset>
            </wp:positionV>
            <wp:extent cx="11112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-156845</wp:posOffset>
            </wp:positionV>
            <wp:extent cx="11112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-173990</wp:posOffset>
            </wp:positionV>
            <wp:extent cx="11176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-156845</wp:posOffset>
            </wp:positionV>
            <wp:extent cx="11176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Total revenue increased $192.6 million, or 39%, from $494.2 million for the nine months ended September 30, 2025 to $686.9 million for the nine months ended September 30, 2026. This growth was a result of an increase in marketplace revenue. Marketplace revenue increased $193.5 million, or 43%, from $451.2 million for the nine months ended September 30, 2025 to $644.7 million for the nine months ended September 30, 2026. The increase in marketplace revenue was primarily due to increased buyer activity on the platform, particularly with respect to enterprise customers, for the nine months ended September 30, 2026 as compared to the prior year period.</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Services revenue decreased $0.9 million, or 2%, from $43.1 million for the nine months ended September 30, 2025 to $42.2 million for the nine months ended September 30, 2026.</w:t>
      </w:r>
    </w:p>
    <w:p>
      <w:pPr>
        <w:spacing w:after="0" w:line="13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Total revenue for the nine months ended September 30, 2026 and 2025 was $580.4 million and $414.6 million, respectively, for the U.S. reportable segment and $106.5 million and $79.6 million, respectively, for the International reportable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Total cost of revenue increased $121.8 million, or 41%, from $300.7 million for the nine months ended September 30, 2025 to $422.5 million for the nine months ended September 30, 2026. This increase was primarily the result of an increase in marketplace cost of revenue. Total cost of revenue from marketplace and services for the nine months ended September 30, 2026 was $417.8 million and $4.7 million, respectively, as compared to $295.9 million and $4.8 million, respectively, for the nine months ended September 30, 2025.</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Marketplace cost of revenue was driven by order growth and increased activity on our marketplace.</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cost of revenue for the nine months ended September 30, 2026 and 2025 was $357.9 million and $251.8 million, respectively for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reportable segment, and $64.7 million and $48.9 million, respectively, for the International reportable segment.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20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Gross profit increased $70.8 million, or 37%, from $193.5 million for the nine months ended September 30, 2025 to $264.3 million for the nine months ended September 30, 2026. The increase in gross profit was primarily due to increases in revenue from marketplace and improved marketplace gross margins as compared to the prior year period.</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gross margin was 38.5% for the nine months ended September 30, 2026 as compared to 39.2% for the nine months ended September 30,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driven by faster growth and associated mix shift to marketplace revenue which has lower gross margin than services.</w:t>
      </w:r>
    </w:p>
    <w:p>
      <w:pPr>
        <w:spacing w:after="0" w:line="16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Gross margin for marketplace was 35.2% for the nine months ended September 30, 2026, as compared to 34.4% for the nine months ended September 30, 2025. The improvement was due largely to our AI-driven platform and expanding network of active suppliers which optimize pricing to buyers and suppliers.</w:t>
      </w:r>
    </w:p>
    <w:p>
      <w:pPr>
        <w:spacing w:after="0" w:line="14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Gross margin for our services was 88.7% for the nine months ended September 30, 2026, as compared to 88.8% for the nine months ended September 30,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Sales and marketing expense increased $12.3 million, or 14%, from $88.9 million for the nine months ended September 30, 2025 to $101.1 million for the nine months ended September 30, 2026, primarily due to increases in employee compensation and benefit costs due to increased headcount, commission expense, consulting expenses, marketing and advertising spend and travel and entertainment expenses. As a percent of total revenue, sales and marketing expenses decreased to 14.7% for the nine months ended September 30, 2026 from 18.0% for the nine months ended September 30, 2025.</w:t>
      </w:r>
    </w:p>
    <w:p>
      <w:pPr>
        <w:spacing w:after="0" w:line="13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Advertising expense increased $0.9 million, from $25.3 million for the nine months ended September 30, 2025 to $26.2 million for the nine months ended September 30, 2026 primarily due to increased services advertising.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 and Support</w:t>
      </w:r>
    </w:p>
    <w:p>
      <w:pPr>
        <w:spacing w:after="0" w:line="20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Operations and support expense increased $11.1 million, or 21%, from $53.2 million for the nine months ended September 30, 2025 to $64.3 million for the nine months ended September 30, 2026, primarily due to increases in employee compensation and benefit costs due to increased headcount, consulting expenses and bonus expense, partially offset by a decrease in stock-based compensation. As a percent of total revenue, operations and support expenses decreased to 9.4% for the nine months ended September 30, 2026 from 10.8% for the nine months ended September 30, 2025.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Product development expense increased $5.8 million, or 17%, from $34.7 million for the nine months ended September 30, 2025 to $40.5 million for the nine months ended September 30, 2026, primarily as a result of increases in software costs, depreciation and amortization expense and consulting costs, partially offset by decreases in compensation and benefits cost and stock-based compensation, which reflects increases in amounts capitalized to software development. As a percent of total revenue, product</w:t>
      </w:r>
    </w:p>
    <w:p>
      <w:pPr>
        <w:sectPr>
          <w:pgSz w:w="11900" w:h="16838" w:orient="portrait"/>
          <w:cols w:equalWidth="0" w:num="1">
            <w:col w:w="11240"/>
          </w:cols>
          <w:pgMar w:left="320" w:top="769" w:right="339" w:bottom="1440" w:gutter="0" w:footer="0" w:header="0"/>
        </w:sect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development expenses decreased to 5.9% for the nine months ended September 30, 2026 as compared to 7.0% for the nine months ended September 30,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increased $15.6 million, or 29%, from $53.4 million for the nine months ended September 30, 2025 to $69.1 million for the nine months ended September 30, 2026, primarily driven by increases in stock-based compensation, employee compensation and benefit costs, the costs of charitable contributions of Class A common stock, credit card and bank fees, professional fees, partially offset by a decrease in software costs. As a percent of total revenue, general and administrative expenses decreased to 10.1% for the nine months ended September 30, 2026 from 10.8% for the nine months ended September 30,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Income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Interest expense increased $0.2 million, or 3% from $3.6 million for the nine months ended September 30, 2025 to $3.8 million for the nine months ended September 30, 2026.</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w:t>
      </w:r>
    </w:p>
    <w:p>
      <w:pPr>
        <w:spacing w:after="0" w:line="200"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Interest and dividend income increased $2.2 million, or 34%, from $6.6 million for the nine months ended September 30, 2025 to $8.8 million for the nine months ended September 30, 2026. The increase was primarily due to higher investment balances in marketable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Other expenses decreased by $17.6 million, from $19.9 million for the nine months ended September 30, 2025 to $2.3 million for the nine months ended September 30, 2026. The decrease was primarily due to a $16.4 million loss on debt extinguishment recognized in connection with the partial repurchase of the 2027 Notes in the second quarter of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Unconsolidated Joint Venture</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Income from unconsolidated joint venture remained flat for the nine months ended September 30, 2026 and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benefit from income taxes</w:t>
      </w:r>
    </w:p>
    <w:p>
      <w:pPr>
        <w:spacing w:after="0" w:line="20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Provision from income taxes increased by $1.3 million, from a benefit of less than $(0.1) million to $1.3 million for the nine months ended September 30, 2026. The increase was due to higher international income based tax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Segment Considerations</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Segment Adjusted EBITDA from our U.S. reportable segment for the nine months ended September 30, 2026 and 2025 was $52.8 million and $20.2 million, respectively. Segment Adjusted EBITDA from our International reportable segment for the nine months ended September 30, 2026 and 2025 was $(6.7) million and $(10.1) million, respectively.</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0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have financed our operations primarily through sales of our equity securities and borrowings under our convertible notes. As of September 30, 2026, our cash and cash equivalents and marketable securities totaled $505.0 million. We believe our existing cash and cash equivalents and marketable securities will be sufficient to support our working capital and capital expenditure requirements for at least the next twelve months. We believe we will meet our longer-term expected future cash requirements primarily from a combination of cash flow from operating activities and available cash and cash equivalents and marketable securities. We may also engage in equity or debt financings to secure additional funds. Our future capital requirements will depend on many factors, including our revenue growth rate, receivable and payable cycles, the timing and extent of investments in product development, sales and marketing, operations and support and general and administrative expenses.</w:t>
      </w:r>
    </w:p>
    <w:p>
      <w:pPr>
        <w:spacing w:after="0" w:line="14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Our capital expenditures consist primarily of internal-use software costs, manufacturing equipment, computers and peripheral equipment, furniture and fixtures and leasehold improvements and patents.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Siemens Common Stock Issuance</w:t>
      </w:r>
    </w:p>
    <w:p>
      <w:pPr>
        <w:spacing w:after="0" w:line="20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On May 6, 2026, we entered into an agreement with Siemens Industry Software Inc. (“Siemens ISW”) to integrate Xometry marketplace capabilities directly into the Siemens ISW industrial software ecosystem. Under the terms of the agreement, Xometry will develop the necessary software (“Software Deliverable”) with support from Siemens ISW, and then provide the Software Deliverable to Siemens ISW at no cost through an original equipment manufacturer agreement (the “OEM Agreement”). Certain exclusivity terms apply for a period of up to seven years from the Siemens ISW Agreement’s effective date. Based on the planned collaboration timeline, exclusivity terms will apply for five years subsequent to the completion of the Software Deliverable.</w:t>
      </w:r>
    </w:p>
    <w:p>
      <w:pPr>
        <w:spacing w:after="0" w:line="14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OEM Agreement will have a base term of five years and renew for successive 1-year terms unless cancelled by either party. Each party is responsible for its own costs during the software development and commercialization phases. In connection with the Siemens ISW Agreement, the Company and Siemens Beteiligungen Inland GmbH, an affiliate of Siemens ISW (“SBI GmbH”), entered into a stock purchase agreement pursuant to which SBI GmbH purchased 1,049,759 shares of our Class A common stock for approximately $50 million.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Common Stock Issuance</w:t>
      </w:r>
    </w:p>
    <w:p>
      <w:pPr>
        <w:spacing w:after="0" w:line="20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On June 1, 2026, we entered into an underwriting agreement with J.P. Morgan Securities LLC and Goldman Sachs &amp; Co. LLC, as representatives of the several underwriters named therein (collectively, the “Underwriters”), to issue and sell 2,647,059 shares of our Class A common stock at a public offering price of $85.00 per share, less underwriting discounts and commissions, pursuant to an effective shelf registration statement on Form S-3 previously filed with the SEC (the “2026 Common Stock Issuance”). The initial closing of the 2026 Common Stock Issuance occurred on June 3, 2026. In addition, we granted the Underwriters an option to purchase, for a period of up to 30 days, up to an additional 397,058 shares of our Class A common stock, which the Underwriters exercised in full on June 22, 2026. After deducting total issuance costs, we received net proceeds of approximately $247.6 million.</w:t>
      </w:r>
    </w:p>
    <w:p>
      <w:pPr>
        <w:spacing w:after="0" w:line="14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2026 Common Stock Issuance working capital and general corporate purposes, including, but not limited to, general and administrative matters, repayment of debt, capital expenditures and acquisitions of other businesses or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due 2030</w:t>
      </w:r>
    </w:p>
    <w:p>
      <w:pPr>
        <w:spacing w:after="0" w:line="20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June 2025, we issued $250.0 million aggregate principal amount of 2030 Notes pursuant to an indenture dated June 12, 2025, including the exercise in full of the initial purchasers’ option to purchase up to an additional $25.0 million principal amount of the 2030 Notes. The 2030 Notes were sold in a private offering to qualified institutional buyers pursuant to Rule 144A under the Securities Act. The net proceeds from the issuance of the 2030 Notes were $241.4 million, net of debt issuance costs. The debt issuance costs are amortized to interest expense using the effective interest rate method.</w:t>
      </w:r>
    </w:p>
    <w:p>
      <w:pPr>
        <w:spacing w:after="0" w:line="13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2030 Notes are general unsecured obligations and bear regular interest at 0.75% per annum, payable semiannually in arrears on June 15 and December 15 of each year, beginning on December 15, 2025. The 2030 Notes will mature on June 15, 2030 unless earlier repurchased, redeemed, or converted in accordance with their terms prior to such date.</w:t>
      </w:r>
    </w:p>
    <w:p>
      <w:pPr>
        <w:spacing w:after="0" w:line="13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2030 Notes are convertible into cash, shares of our Class A common stock, or a combination of cash and shares of our Class A common stock, at our election, at an initial conversion rate of 21.2495 shares of Class A common stock per $1,000 principal amount of 2030 Notes, which is equivalent to an initial conversion price of approximately $47.06 per share of our Class A common stock. The conversion rate is subject to customary adjustments for certain events as described in the indenture governing the 2030 Notes. In addition,</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certain corporate events that occur prior to the maturity date of the 2030 Notes or if we deliver a notice of redemption in respect of the 2030 Notes, we will, under certain circumstances, increase the conversion rate of the 2030 Notes for a holder who elects to convert its 2030 Notes in connection with such a corporate event or convert its 2030 Notes called (or deemed called) for redemption in connection with such notice of redemption, as the case may be.</w:t>
      </w:r>
    </w:p>
    <w:p>
      <w:pPr>
        <w:spacing w:after="0" w:line="15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may redeem for cash all or any portion of the 2030 Notes, at our option, on or after June 20, 2028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2030 Notes to be redeemed, plus accrued and unpaid interest, if any, to, but excluding, the redemption date.</w:t>
      </w:r>
    </w:p>
    <w:p>
      <w:pPr>
        <w:spacing w:after="0" w:line="14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Holders of the 2030 Notes may convert all or a portion of their 2030 Notes at their option prior to the close of business on the business day immediately preceding March 15, 2030, in multiples of $1,000 principal amounts, only under the following circumstances:</w:t>
      </w:r>
    </w:p>
    <w:p>
      <w:pPr>
        <w:spacing w:after="0" w:line="121" w:lineRule="exact"/>
        <w:rPr>
          <w:sz w:val="20"/>
          <w:szCs w:val="20"/>
          <w:color w:val="auto"/>
        </w:rPr>
      </w:pPr>
    </w:p>
    <w:p>
      <w:pPr>
        <w:jc w:val="both"/>
        <w:ind w:left="600" w:hanging="218"/>
        <w:spacing w:after="0" w:line="266" w:lineRule="auto"/>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2030 Notes on each such trading day (the “2030 Sale Price Trigger”);</w:t>
      </w:r>
    </w:p>
    <w:p>
      <w:pPr>
        <w:spacing w:after="0" w:line="67" w:lineRule="exact"/>
        <w:rPr>
          <w:rFonts w:ascii="Times New Roman" w:cs="Times New Roman" w:eastAsia="Times New Roman" w:hAnsi="Times New Roman"/>
          <w:sz w:val="18"/>
          <w:szCs w:val="18"/>
          <w:color w:val="auto"/>
        </w:rPr>
      </w:pPr>
    </w:p>
    <w:p>
      <w:pPr>
        <w:jc w:val="both"/>
        <w:ind w:left="600" w:hanging="218"/>
        <w:spacing w:after="0" w:line="266" w:lineRule="auto"/>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ten consecutive trading day period in which the trading price per $1,000 principal amount of the 2030 Notes for each day of such ten consecutive trading day period was less than 98% of the product of the last reported sale price of our Class A common stock and the applicable conversion rate of the 2030 Notes;</w:t>
      </w:r>
    </w:p>
    <w:p>
      <w:pPr>
        <w:spacing w:after="0" w:line="67" w:lineRule="exact"/>
        <w:rPr>
          <w:rFonts w:ascii="Times New Roman" w:cs="Times New Roman" w:eastAsia="Times New Roman" w:hAnsi="Times New Roman"/>
          <w:sz w:val="18"/>
          <w:szCs w:val="18"/>
          <w:color w:val="auto"/>
        </w:rPr>
      </w:pPr>
    </w:p>
    <w:p>
      <w:pPr>
        <w:jc w:val="both"/>
        <w:ind w:left="600" w:hanging="218"/>
        <w:spacing w:after="0" w:line="266" w:lineRule="auto"/>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notice of redemption, at any time prior to the close of business on the second scheduled trading day immediately preceding the redemption date, in which case we may be required to increase the conversion rate for the 2030 Notes so surrendered for conversion in connection with such redemption notice; or</w:t>
      </w:r>
    </w:p>
    <w:p>
      <w:pPr>
        <w:spacing w:after="0" w:line="67" w:lineRule="exact"/>
        <w:rPr>
          <w:rFonts w:ascii="Times New Roman" w:cs="Times New Roman" w:eastAsia="Times New Roman" w:hAnsi="Times New Roman"/>
          <w:sz w:val="18"/>
          <w:szCs w:val="18"/>
          <w:color w:val="auto"/>
        </w:rPr>
      </w:pPr>
    </w:p>
    <w:p>
      <w:pPr>
        <w:ind w:left="600" w:hanging="218"/>
        <w:spacing w:after="0"/>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occurrence of specified corporate events.</w:t>
      </w:r>
    </w:p>
    <w:p>
      <w:pPr>
        <w:spacing w:after="0" w:line="19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On or after March 15, 2030, the 2030 Notes are convertible at any time until the close of business on the second scheduled trading day immediately preceding the maturity date.</w:t>
      </w:r>
    </w:p>
    <w:p>
      <w:pPr>
        <w:spacing w:after="0" w:line="121"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In the event of a fundamental change (as defined in the indenture governing the 2030 Notes), subject to certain conditions and limited exceptions, holders of the 2030 Notes may require us to repurchase for cash all or a portion of the 2030 Notes at a price equal to 100% of the principal amount of the 2030 Notes to be repurchased, plus accrued and unpaid interest, if any, to, but excluding, the fundamental change repurchase date.</w:t>
      </w:r>
    </w:p>
    <w:p>
      <w:pPr>
        <w:spacing w:after="0" w:line="13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accounted for the issuance of the 2030 Notes as a single liability measured at its amortized cost, as no embedded features require bifurcation and recognition as derivatives.</w:t>
      </w:r>
    </w:p>
    <w:p>
      <w:pPr>
        <w:spacing w:after="0" w:line="135"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the 2030 Sale Price Trigger was met and as a result, holders may convert their 2030 Notes at any time during the three months ending December 31, 2026.</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September 30, 2026, the 2030 Notes have a carrying value of approximately $243.6 million with an effective annual interest rate of 1.4%.</w:t>
      </w:r>
    </w:p>
    <w:p>
      <w:pPr>
        <w:spacing w:after="0" w:line="18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may, from time to time, repurchase our convertible senior notes using cash on hand, either on the open market or in privately negotiated transactions.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due 2027</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February 2022, we issued $287.5 million aggregate principal amount of 2027 Notes pursuant to an indenture dated February 4, 2022. The 2027 Notes were issued in a private offering to qualified institutional buyers pursuant to Rule 144A under the Securities Act. The net proceeds from the issuance of the 2027 Notes were $278.2 million, net of debt issuance costs. The debt issuance costs are amortized to interest expense using the effective interest rate method.</w:t>
      </w:r>
    </w:p>
    <w:p>
      <w:pPr>
        <w:spacing w:after="0" w:line="13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2027 Notes are unsecured obligations and bear regular interest at 1% per annum, payable on February 1 and August 1 of each year. The 2027 Notes will mature on February 1, 2027 unless repurchased, redeemed, or converted in accordance with their terms prior to such date.</w:t>
      </w:r>
    </w:p>
    <w:p>
      <w:pPr>
        <w:spacing w:after="0" w:line="13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w:t>
      </w:r>
    </w:p>
    <w:p>
      <w:pPr>
        <w:sectPr>
          <w:pgSz w:w="11900" w:h="16838" w:orient="portrait"/>
          <w:cols w:equalWidth="0" w:num="1">
            <w:col w:w="11240"/>
          </w:cols>
          <w:pgMar w:left="320" w:top="769" w:right="339" w:bottom="1440" w:gutter="0" w:footer="0" w:header="0"/>
        </w:sect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conversion rate is subject to customary adjustments for certain events as described in the indenture governing the 2027 Notes. In addition, following certain corporate events that occur prior to the maturity date of the 2027 Notes or if we deliver a notice of redemption in respect of the 2027 Notes, we will, under certain circumstances, increase the conversion rate of the 2027 Notes for a holder who elects to convert its 2027 Notes in connection with such a corporate event or convert its 2027 Notes called (or deemed called) for redemption in connection with such notice of redemption, as the case may be.</w:t>
      </w:r>
    </w:p>
    <w:p>
      <w:pPr>
        <w:spacing w:after="0" w:line="15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may redeem for cash all or any portion of the 2027 Notes, at our option,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2027 Notes to be redeemed, plus accrued and unpaid interest or additional interest, if any.</w:t>
      </w:r>
    </w:p>
    <w:p>
      <w:pPr>
        <w:spacing w:after="0" w:line="14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Holders of the 2027 Notes may convert all or a portion of their 2027 Notes at their option prior to November 1, 2026, in multiples of $1,000 principal amounts, only under the following circumstances:</w:t>
      </w:r>
    </w:p>
    <w:p>
      <w:pPr>
        <w:spacing w:after="0" w:line="121" w:lineRule="exact"/>
        <w:rPr>
          <w:sz w:val="20"/>
          <w:szCs w:val="20"/>
          <w:color w:val="auto"/>
        </w:rPr>
      </w:pPr>
    </w:p>
    <w:p>
      <w:pPr>
        <w:jc w:val="both"/>
        <w:ind w:left="600" w:hanging="218"/>
        <w:spacing w:after="0" w:line="266"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2027 Notes on each such trading day (the “2027 Sale Price Trigger”);</w:t>
      </w:r>
    </w:p>
    <w:p>
      <w:pPr>
        <w:spacing w:after="0" w:line="67" w:lineRule="exact"/>
        <w:rPr>
          <w:rFonts w:ascii="Times New Roman" w:cs="Times New Roman" w:eastAsia="Times New Roman" w:hAnsi="Times New Roman"/>
          <w:sz w:val="18"/>
          <w:szCs w:val="18"/>
          <w:color w:val="auto"/>
        </w:rPr>
      </w:pPr>
    </w:p>
    <w:p>
      <w:pPr>
        <w:jc w:val="both"/>
        <w:ind w:left="600" w:right="20" w:hanging="218"/>
        <w:spacing w:after="0" w:line="266"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five-business day period after any ten consecutive trading day period in which the trading price per $1,000 principal amount of the 2027 Notes for each day of that ten consecutive trading day period was less than 98% of the product of the last reported sale price of our Class A common stock and the applicable conversion rate of the 2027 Notes;</w:t>
      </w:r>
    </w:p>
    <w:p>
      <w:pPr>
        <w:spacing w:after="0" w:line="67" w:lineRule="exact"/>
        <w:rPr>
          <w:rFonts w:ascii="Times New Roman" w:cs="Times New Roman" w:eastAsia="Times New Roman" w:hAnsi="Times New Roman"/>
          <w:sz w:val="18"/>
          <w:szCs w:val="18"/>
          <w:color w:val="auto"/>
        </w:rPr>
      </w:pPr>
    </w:p>
    <w:p>
      <w:pPr>
        <w:jc w:val="both"/>
        <w:ind w:left="600" w:hanging="218"/>
        <w:spacing w:after="0" w:line="266"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spacing w:after="0" w:line="67" w:lineRule="exact"/>
        <w:rPr>
          <w:rFonts w:ascii="Times New Roman" w:cs="Times New Roman" w:eastAsia="Times New Roman" w:hAnsi="Times New Roman"/>
          <w:sz w:val="18"/>
          <w:szCs w:val="18"/>
          <w:color w:val="auto"/>
        </w:rPr>
      </w:pPr>
    </w:p>
    <w:p>
      <w:pPr>
        <w:ind w:left="600" w:hanging="218"/>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occurrence of specified corporate events.</w:t>
      </w:r>
    </w:p>
    <w:p>
      <w:pPr>
        <w:spacing w:after="0" w:line="198" w:lineRule="exact"/>
        <w:rPr>
          <w:sz w:val="20"/>
          <w:szCs w:val="20"/>
          <w:color w:val="auto"/>
        </w:rPr>
      </w:pPr>
    </w:p>
    <w:p>
      <w:pPr>
        <w:jc w:val="both"/>
        <w:ind w:firstLine="42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the 2027 Sale Price Trigger was met and as a result, holders may convert their 2027 Notes at any time through October 30, 2026. On or after November 1, 2026, the 2027 Notes are convertible at any time until the close of business on the second scheduled trading day immediately preceding the maturity date.</w:t>
      </w:r>
    </w:p>
    <w:p>
      <w:pPr>
        <w:spacing w:after="0" w:line="13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the event of a fundamental change (as defined in the indenture governing the 2027 Notes), subject to certain conditions and limited exceptions, holders of the 2027 Notes may require us to repurchase all or a portion of the 2027 Notes at a price equal to 100% of the principal amount of 2027 Notes, plus accrued and unpaid interest.</w:t>
      </w:r>
    </w:p>
    <w:p>
      <w:pPr>
        <w:spacing w:after="0" w:line="13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accounted for the issuance of the 2027 Notes as a single liability measured at its amortized cost, as no embedded features require bifurcation and recognition as derivatives.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September 30, 2026, the 2027 Notes have a carrying value of approximately $84.8 million with an effective annual interest rate of 1.7%.</w:t>
      </w:r>
    </w:p>
    <w:p>
      <w:pPr>
        <w:spacing w:after="0" w:line="18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may, from time to time, repurchase our convertible senior notes using cash on hand, either on the open market or in privately negotiated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Partial Repurchase of 2027 Notes</w:t>
      </w:r>
    </w:p>
    <w:p>
      <w:pPr>
        <w:spacing w:after="0" w:line="20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June 2025, we used a portion of the net proceeds from the issuance of the 2030 Notes to repurchase approximately $201.7 million in aggregate principal amount of outstanding 2027 Notes. The total cash paid in connection with this repurchase was approximately $216.7 million, which included approximately $0.7 million to pay the accrued interest through the settlement date and an approximate $14.3 million premium. The repurchase resulted in a $16.4 million loss on debt extinguishment, which included the write-off of $2.1 million of deferred costs related to the 2027 Notes. The loss on debt extinguishment was recorded within Other expenses in the Condensed Consolidated Statements of Operations and Comprehensive Income (Loss).</w:t>
      </w:r>
    </w:p>
    <w:p>
      <w:pPr>
        <w:spacing w:after="0" w:line="14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Following this partial repurchase, approximately $85.8 million aggregate principal amount of the 2027 Notes remain outstanding on our Condensed Consolidated Balance Sheet. The original terms and conditions continue to apply to the remaining 2027 Notes, and the unamortized debt discount and issuance costs related to these notes will continue to be deferred and accreted.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121" w:lineRule="exact"/>
        <w:rPr>
          <w:sz w:val="20"/>
          <w:szCs w:val="20"/>
          <w:color w:val="auto"/>
        </w:rPr>
      </w:pPr>
    </w:p>
    <w:p>
      <w:pPr>
        <w:jc w:val="both"/>
        <w:ind w:firstLine="644"/>
        <w:spacing w:after="0" w:line="282" w:lineRule="auto"/>
        <w:rPr>
          <w:sz w:val="20"/>
          <w:szCs w:val="20"/>
          <w:color w:val="auto"/>
        </w:rPr>
      </w:pPr>
      <w:r>
        <w:rPr>
          <w:rFonts w:ascii="Times New Roman" w:cs="Times New Roman" w:eastAsia="Times New Roman" w:hAnsi="Times New Roman"/>
          <w:sz w:val="18"/>
          <w:szCs w:val="18"/>
          <w:color w:val="auto"/>
        </w:rPr>
        <w:t>In connection with the issuance of 2030 Notes, we entered into capped call transactions (the “Capped Calls”) with respect to its Class A common shares with certain financial institutions. The Capped Calls are expected to reduce the potential dilution to our Class</w:t>
      </w:r>
    </w:p>
    <w:p>
      <w:pPr>
        <w:sectPr>
          <w:pgSz w:w="11900" w:h="16838" w:orient="portrait"/>
          <w:cols w:equalWidth="0" w:num="1">
            <w:col w:w="11240"/>
          </w:cols>
          <w:pgMar w:left="320" w:top="769" w:right="339" w:bottom="1440" w:gutter="0" w:footer="0" w:header="0"/>
        </w:sectPr>
      </w:pP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common stock upon any conversion of the 2030 Notes and/or offset any cash payments we are required to make in excess of the principal amount of the converted 2030 Notes, as the case may be, with such reduction and/or offset subject to a cap based on a cap price initially equal to $63.35 per share and which is subject to certain adjustments under the terms of the Capped Calls.</w:t>
      </w:r>
    </w:p>
    <w:p>
      <w:pPr>
        <w:spacing w:after="0" w:line="68" w:lineRule="exact"/>
        <w:rPr>
          <w:sz w:val="20"/>
          <w:szCs w:val="20"/>
          <w:color w:val="auto"/>
        </w:rPr>
      </w:pPr>
    </w:p>
    <w:p>
      <w:pPr>
        <w:jc w:val="both"/>
        <w:ind w:firstLine="644"/>
        <w:spacing w:after="0" w:line="266" w:lineRule="auto"/>
        <w:rPr>
          <w:sz w:val="20"/>
          <w:szCs w:val="20"/>
          <w:color w:val="auto"/>
        </w:rPr>
      </w:pPr>
      <w:r>
        <w:rPr>
          <w:rFonts w:ascii="Times New Roman" w:cs="Times New Roman" w:eastAsia="Times New Roman" w:hAnsi="Times New Roman"/>
          <w:sz w:val="18"/>
          <w:szCs w:val="18"/>
          <w:color w:val="auto"/>
        </w:rPr>
        <w:t>We used approximately $17.5 million of the net proceeds from the 2030 Notes to pay the cost of the Capped Calls. These instruments are classified as equity and recorded as a reduction of additional paid-in capital in the Condensed Consolidated Statements of Changes in Stockholders’ Equity. The Capped Calls are not accounted for as derivatives and will not be remeasured; they will remain in stockholders’ equity until expiration or settlement.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Treasury Stock</w:t>
      </w:r>
    </w:p>
    <w:p>
      <w:pPr>
        <w:spacing w:after="0" w:line="202" w:lineRule="exact"/>
        <w:rPr>
          <w:sz w:val="20"/>
          <w:szCs w:val="20"/>
          <w:color w:val="auto"/>
        </w:rPr>
      </w:pPr>
    </w:p>
    <w:p>
      <w:pPr>
        <w:jc w:val="both"/>
        <w:ind w:firstLine="644"/>
        <w:spacing w:after="0" w:line="266" w:lineRule="auto"/>
        <w:rPr>
          <w:sz w:val="20"/>
          <w:szCs w:val="20"/>
          <w:color w:val="auto"/>
        </w:rPr>
      </w:pPr>
      <w:r>
        <w:rPr>
          <w:rFonts w:ascii="Times New Roman" w:cs="Times New Roman" w:eastAsia="Times New Roman" w:hAnsi="Times New Roman"/>
          <w:sz w:val="18"/>
          <w:szCs w:val="18"/>
          <w:color w:val="auto"/>
        </w:rPr>
        <w:t>In conjunction with the 2030 Notes issuance, we purchased 220,994 shares of our Class A common stock in privately negotiated transactions at an average price of $36.20 per share on June 9, 2025. The $8.1 million of treasury stock repurchase costs was funded using a portion of the proceeds of the 2030 Notes and was recorded as a reduction to stockholders’ equity in the Condensed Consolidated Statements of Changes in Stockholders’ Equity.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a summary of our cash flows from operating, investing, and financing activities for the nine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and 2025.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8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2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42"/>
        </w:trPr>
        <w:tc>
          <w:tcPr>
            <w:tcW w:w="52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2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thousands)</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25,410</w:t>
            </w:r>
          </w:p>
        </w:tc>
        <w:tc>
          <w:tcPr>
            <w:tcW w:w="1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2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(326,209)</w:t>
            </w:r>
          </w:p>
        </w:tc>
        <w:tc>
          <w:tcPr>
            <w:tcW w:w="6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(5,982)</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303,973</w:t>
            </w:r>
          </w:p>
        </w:tc>
        <w:tc>
          <w:tcPr>
            <w:tcW w:w="1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120" w:type="dxa"/>
            <w:vAlign w:val="bottom"/>
            <w:shd w:val="clear" w:color="auto" w:fill="CFF0FC"/>
          </w:tcPr>
          <w:p>
            <w:pPr>
              <w:spacing w:after="0"/>
              <w:rPr>
                <w:sz w:val="18"/>
                <w:szCs w:val="18"/>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2026, net cash provided by operating activities was $25.4 million, primarily due to a net loss of $(8.6) million adjusted for non-cash charges of $55.7 million and a net $(21.6) million adjustment from changes in operating assets and liabilities. The non-cash charges primarily relate to stock-based compensation of $31.0 million and depreciation and amortization of $17.0 million. The net decrease in operating assets and liabilities is primarily driven by the changes in accounts receivable of $55.1 million due to increased sales and changes in other assets of $7.5 million, and offset by changes in accounts payable and accrued cost of revenue of $24.0 million due to the timing of payments and sales growth, changes in other accrued expenses of $9.9 million, and changes in contract liabilities of $7.4 million due to payments received in advance.</w:t>
      </w:r>
    </w:p>
    <w:p>
      <w:pPr>
        <w:spacing w:after="0" w:line="16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2025, net cash provided by operating activities was $1.7 million, primarily due to a net loss of $(53.1) million adjusted for non-cash charges of $63.0 million and a net $(8.2) million adjustment from changes in operating assets and liabilities. The non-cash charges primarily relate to stock-based compensation of $26.0 million, a loss on debt extinguishment of $16.4 million, depreciation and amortization of $13.7 million and a $3.4 million reduction to our right-of-use lease assets. The net decrease in operating assets and liabilities is primarily driven by the changes in accounts receivable of $23.4 million due to increased sales and a reduction in lease liabilities of $5.2 million, partially offset by changes in accounts payable and accrued cost of revenue of $10.7 million due to the timing of payments and growth, changes in other accrued expenses of $9.1 million and changes in contract liabilities of $3.2 million.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net cash used in investing activities was $326.2 million, primarily due to the purchase of marketable securities of $341.7 million and the capitalization of internal-use software development costs and purchases of property and equipment of $38.9 million, offset by the sale of marketable securities of $59.0 million.</w:t>
      </w:r>
    </w:p>
    <w:p>
      <w:pPr>
        <w:spacing w:after="0" w:line="14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net cash used in investing activities was $6.0 million, primarily due to the purchase of property and equipment (which includes the internal-use software development costs) of $19.9 million and the purchase of marketable securities of $6.6 million offset by the sale of marketable securities of $20.5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net cash provided by financing activities was $304.0 million, primarily due to net proceeds from the 2026 Common Stock Issuance of $247.6 million, proceeds from the issuance of common stock under the Siemens agreement of $50.0 million and proceeds from the exercise of stock options of $6.3 million.</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2025, net cash provided by financing activities was $2.5 million, primarily resulting from $241.4 million in net proceeds from the issuance of the 2030 Notes (net of issuance costs) and approximately $2.7 million from the exercise of stock options largely offset by outflows of $216.0 million to repurchase a portion of the 2027 Notes, approximately $17.5 million to purchase capped calls, and approximately $8.1 million to purchase treasury stock.</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 xml:space="preserve">Our condensed consolidated financial statements and accompanying notes have been prepared in accordance with GAAP. The preparation of these condensed consolidated financial statements requires us to make estimates and assumptions that affect the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 For additional information about our critical accounting policies and estimates, see the disclosure included in our Annual Report on Form 10-K for the year ended December 31, 2025 as well as Note 2,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xml:space="preserve"> in the notes to the condensed consolidated financial statements included in Part I, Item 1, of this Quarterly Report on Form 10-Q. There have been no material changes to our critical accounting policies and accounting estimates as compared to those disclosed in our Annual Report on Form 10-K for the year ended December 31, 2025.</w:t>
      </w: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0"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color w:val="auto"/>
        </w:rPr>
        <w:t xml:space="preserve">For a description of our recently adopted accounting pronouncements and recently issued accounting standards not yet adopted, see Note 2, </w:t>
      </w:r>
      <w:r>
        <w:rPr>
          <w:rFonts w:ascii="Times New Roman" w:cs="Times New Roman" w:eastAsia="Times New Roman" w:hAnsi="Times New Roman"/>
          <w:sz w:val="18"/>
          <w:szCs w:val="18"/>
          <w:i w:val="1"/>
          <w:iCs w:val="1"/>
          <w:color w:val="auto"/>
        </w:rPr>
        <w:t>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Presentation and Summary of Significant Accounting Policies </w:t>
      </w:r>
      <w:r>
        <w:rPr>
          <w:rFonts w:ascii="Times New Roman" w:cs="Times New Roman" w:eastAsia="Times New Roman" w:hAnsi="Times New Roman"/>
          <w:sz w:val="18"/>
          <w:szCs w:val="18"/>
          <w:color w:val="auto"/>
        </w:rPr>
        <w:t>in the notes to the condensed consolidated financial statements included in Part I, Item 1,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Quarterly Report on Form 10-Q.</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exposure to potential changes in interest rates. We do not enter into investments for trading or speculative purposes and have not used any derivative financial instruments to manage our interest rate risk exposure.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8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U.S. revenue and costs are principally denominated in U.S. dollars and are not subject to foreign currency exchange risk. Our International operating segment generates revenue outside of the United States that is denominated in currencies other than the U.S. dollar. Our results of operations are impacted by changes in exchange rates. Outside the U.S., our International operations generated approximately 16% of our revenues for the nine months ended September 30, 2026, of which the majority was generated in Euros. If the average exchange rate of Euros changed unfavorably by 10%, our revenues for the nine months ended September 30, 2026 would have decreased by 1.2%. During the nine months ended September 30, 2026, our revenues were impacted as the average exchange rate experienced fluctuations of 3.9% during the nine months ending September 30, 2026 and September 30, 2025. This fluctuation caused a 0.4% increase in our revenues.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0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If our costs were to become subject to significant inflationary pressures such as those caused by geopolitical tensions, we may not be able to fully offset such higher costs through price increases. Our inability or failure to do so could harm our business, results of operations and financial condition.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8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4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Pursuant to Rules 13a-15(e) and 15d-15(e) under the Exchange Act, our management, with the participation of our Chief Executive Officer and Chief Financial Officer, performed an evaluation of the effectiveness of our disclosure controls and procedures as of September 30, 2026. Based on such evaluation, our Chief Executive Officer and Chief Financial Officer concluded that our disclosure controls and procedures were effective at a reasonable assurance level as of September 30, 2026.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identified in connection with the evaluation required by Rule 13a-15(d) and 15d-15(d) of the Exchange Act that occurred during the quarter ended September 30, 2026, that have materially affected, or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20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From time to time, we are involved in various claims and legal actions that arise in the ordinary course of business. We are not a party to any legal proceedings, that individually or in the aggregate, are reasonably expected to have a material adverse effect on our consolidated results of operations, financial condition or cash flows. However, the results of these matters cannot be predicted with certainty, and an unfavorable resolution of one or more matters could have a material adverse effect on our consolidated results of operations, financial condition or cash flows.</w:t>
      </w:r>
    </w:p>
    <w:p>
      <w:pPr>
        <w:spacing w:after="0" w:line="15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the period ended September 30, 2026, there were no material legal proceedings brought against us nor were there any material developments to any ongoing legal proceedings which constituted reportable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jc w:val="both"/>
        <w:ind w:firstLine="374"/>
        <w:spacing w:after="0" w:line="219" w:lineRule="exact"/>
        <w:rPr>
          <w:sz w:val="20"/>
          <w:szCs w:val="20"/>
          <w:color w:val="auto"/>
        </w:rPr>
      </w:pPr>
      <w:r>
        <w:rPr>
          <w:rFonts w:ascii="Times New Roman" w:cs="Times New Roman" w:eastAsia="Times New Roman" w:hAnsi="Times New Roman"/>
          <w:sz w:val="18"/>
          <w:szCs w:val="18"/>
          <w:color w:val="auto"/>
        </w:rPr>
        <w:t>Investing in our Class A common stock involves a high degree of risk. You should carefully consider the risks and uncertainties described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2025 under Part I, Item 1A, “Risk Factors,” together with all of the other information in this Quarterly Report on Form 10-Q, including the sections titled “Management’s Discussion and Analysis of Financial Condition and Results of Operations” and our condensed consolidated financial statements and related notes, before making a decision to invest in our Class A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Class A common stock could decline, and you could lose part or all of your investment.</w:t>
      </w:r>
    </w:p>
    <w:p>
      <w:pPr>
        <w:spacing w:after="0" w:line="17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risk factors as previously disclosed in Item 1A. contained in Part I of our Annual Report on Form 10-K for the year ended December 31,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18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During our last fiscal quarter, our directors and officers (as defined in Rule 16a-1(f) under the Securities Exchange Act of 1934, as amended) adopted or terminated the contracts, instructions or written plans for the purchase or sale of the Company's securities, as set forth in the table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Type of Trading Arrangement</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Total Shares of</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9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Adoption /</w:t>
            </w: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Total Shares of</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5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Non-Rule</w:t>
            </w:r>
          </w:p>
        </w:tc>
        <w:tc>
          <w:tcPr>
            <w:tcW w:w="10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Class A Common</w:t>
            </w:r>
          </w:p>
        </w:tc>
        <w:tc>
          <w:tcPr>
            <w:tcW w:w="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 to be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13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Action</w:t>
            </w:r>
          </w:p>
        </w:tc>
        <w:tc>
          <w:tcPr>
            <w:tcW w:w="11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5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Rule 10b5-1*</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10b5-1**</w:t>
            </w:r>
          </w:p>
        </w:tc>
        <w:tc>
          <w:tcPr>
            <w:tcW w:w="10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 to be Sold</w:t>
            </w:r>
          </w:p>
        </w:tc>
        <w:tc>
          <w:tcPr>
            <w:tcW w:w="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0" w:type="dxa"/>
            <w:vAlign w:val="bottom"/>
          </w:tcPr>
          <w:p>
            <w:pPr>
              <w:spacing w:after="0"/>
              <w:rPr>
                <w:sz w:val="1"/>
                <w:szCs w:val="1"/>
                <w:color w:val="auto"/>
              </w:rPr>
            </w:pPr>
          </w:p>
        </w:tc>
      </w:tr>
      <w:tr>
        <w:trPr>
          <w:trHeight w:val="210"/>
        </w:trPr>
        <w:tc>
          <w:tcPr>
            <w:tcW w:w="19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98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auto"/>
              </w:rPr>
              <w:t>Sanjeev Singh Sahni</w:t>
            </w:r>
          </w:p>
        </w:tc>
        <w:tc>
          <w:tcPr>
            <w:tcW w:w="1340" w:type="dxa"/>
            <w:vAlign w:val="bottom"/>
            <w:vMerge w:val="restart"/>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Adopted</w:t>
            </w:r>
          </w:p>
        </w:tc>
        <w:tc>
          <w:tcPr>
            <w:tcW w:w="1100" w:type="dxa"/>
            <w:vAlign w:val="bottom"/>
            <w:vMerge w:val="restart"/>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8/6/2026</w:t>
            </w:r>
          </w:p>
        </w:tc>
        <w:tc>
          <w:tcPr>
            <w:tcW w:w="1500" w:type="dxa"/>
            <w:vAlign w:val="bottom"/>
            <w:vMerge w:val="restart"/>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1"/>
              </w:rPr>
              <w:t>X</w:t>
            </w:r>
          </w:p>
        </w:tc>
        <w:tc>
          <w:tcPr>
            <w:tcW w:w="1000" w:type="dxa"/>
            <w:vAlign w:val="bottom"/>
            <w:vMerge w:val="restart"/>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51,451</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360" w:type="dxa"/>
            <w:vAlign w:val="bottom"/>
            <w:vMerge w:val="restart"/>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vMerge w:val="restart"/>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7/15/2028</w:t>
            </w:r>
          </w:p>
        </w:tc>
        <w:tc>
          <w:tcPr>
            <w:tcW w:w="0" w:type="dxa"/>
            <w:vAlign w:val="bottom"/>
          </w:tcPr>
          <w:p>
            <w:pPr>
              <w:spacing w:after="0"/>
              <w:rPr>
                <w:sz w:val="1"/>
                <w:szCs w:val="1"/>
                <w:color w:val="auto"/>
              </w:rPr>
            </w:pPr>
          </w:p>
        </w:tc>
      </w:tr>
      <w:tr>
        <w:trPr>
          <w:trHeight w:val="128"/>
        </w:trPr>
        <w:tc>
          <w:tcPr>
            <w:tcW w:w="19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340" w:type="dxa"/>
            <w:vAlign w:val="bottom"/>
            <w:vMerge w:val="continue"/>
            <w:shd w:val="clear" w:color="auto" w:fill="CFF0FC"/>
          </w:tcPr>
          <w:p>
            <w:pPr>
              <w:spacing w:after="0"/>
              <w:rPr>
                <w:sz w:val="11"/>
                <w:szCs w:val="11"/>
                <w:color w:val="auto"/>
              </w:rPr>
            </w:pPr>
          </w:p>
        </w:tc>
        <w:tc>
          <w:tcPr>
            <w:tcW w:w="1100" w:type="dxa"/>
            <w:vAlign w:val="bottom"/>
            <w:vMerge w:val="continue"/>
            <w:shd w:val="clear" w:color="auto" w:fill="CFF0FC"/>
          </w:tcPr>
          <w:p>
            <w:pPr>
              <w:spacing w:after="0"/>
              <w:rPr>
                <w:sz w:val="11"/>
                <w:szCs w:val="11"/>
                <w:color w:val="auto"/>
              </w:rPr>
            </w:pPr>
          </w:p>
        </w:tc>
        <w:tc>
          <w:tcPr>
            <w:tcW w:w="1500" w:type="dxa"/>
            <w:vAlign w:val="bottom"/>
            <w:vMerge w:val="continue"/>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148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360" w:type="dxa"/>
            <w:vAlign w:val="bottom"/>
            <w:vMerge w:val="continue"/>
            <w:shd w:val="clear" w:color="auto" w:fill="CFF0FC"/>
          </w:tcPr>
          <w:p>
            <w:pPr>
              <w:spacing w:after="0"/>
              <w:rPr>
                <w:sz w:val="11"/>
                <w:szCs w:val="11"/>
                <w:color w:val="auto"/>
              </w:rPr>
            </w:pPr>
          </w:p>
        </w:tc>
        <w:tc>
          <w:tcPr>
            <w:tcW w:w="138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80" w:type="dxa"/>
            <w:vAlign w:val="bottom"/>
            <w:vMerge w:val="continue"/>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50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9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James Miln</w:t>
            </w:r>
          </w:p>
        </w:tc>
        <w:tc>
          <w:tcPr>
            <w:tcW w:w="13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Terminated(1)</w:t>
            </w:r>
          </w:p>
        </w:tc>
        <w:tc>
          <w:tcPr>
            <w:tcW w:w="110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8/7/2026</w:t>
            </w:r>
          </w:p>
        </w:tc>
        <w:tc>
          <w:tcPr>
            <w:tcW w:w="1500" w:type="dxa"/>
            <w:vAlign w:val="bottom"/>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1"/>
              </w:rPr>
              <w:t>X</w:t>
            </w:r>
          </w:p>
        </w:tc>
        <w:tc>
          <w:tcPr>
            <w:tcW w:w="10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7"/>
                <w:szCs w:val="17"/>
                <w:color w:val="auto"/>
              </w:rPr>
            </w:pPr>
          </w:p>
        </w:tc>
        <w:tc>
          <w:tcPr>
            <w:tcW w:w="1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360" w:type="dxa"/>
            <w:vAlign w:val="bottom"/>
            <w:vMerge w:val="restart"/>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6/1/2027</w:t>
            </w:r>
          </w:p>
        </w:tc>
        <w:tc>
          <w:tcPr>
            <w:tcW w:w="0" w:type="dxa"/>
            <w:vAlign w:val="bottom"/>
          </w:tcPr>
          <w:p>
            <w:pPr>
              <w:spacing w:after="0"/>
              <w:rPr>
                <w:sz w:val="1"/>
                <w:szCs w:val="1"/>
                <w:color w:val="auto"/>
              </w:rPr>
            </w:pPr>
          </w:p>
        </w:tc>
      </w:tr>
      <w:tr>
        <w:trPr>
          <w:trHeight w:val="128"/>
        </w:trPr>
        <w:tc>
          <w:tcPr>
            <w:tcW w:w="19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34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8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98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auto"/>
              </w:rPr>
              <w:t>James Miln</w:t>
            </w:r>
          </w:p>
        </w:tc>
        <w:tc>
          <w:tcPr>
            <w:tcW w:w="1340" w:type="dxa"/>
            <w:vAlign w:val="bottom"/>
            <w:vMerge w:val="restart"/>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Adopted(1)</w:t>
            </w:r>
          </w:p>
        </w:tc>
        <w:tc>
          <w:tcPr>
            <w:tcW w:w="1100" w:type="dxa"/>
            <w:vAlign w:val="bottom"/>
            <w:vMerge w:val="restart"/>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8/7/2026</w:t>
            </w:r>
          </w:p>
        </w:tc>
        <w:tc>
          <w:tcPr>
            <w:tcW w:w="1500" w:type="dxa"/>
            <w:vAlign w:val="bottom"/>
            <w:vMerge w:val="restart"/>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1"/>
              </w:rPr>
              <w:t>X</w:t>
            </w:r>
          </w:p>
        </w:tc>
        <w:tc>
          <w:tcPr>
            <w:tcW w:w="1000" w:type="dxa"/>
            <w:vAlign w:val="bottom"/>
            <w:vMerge w:val="restart"/>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41,000</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360" w:type="dxa"/>
            <w:vAlign w:val="bottom"/>
            <w:vMerge w:val="restart"/>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12/31/2027</w:t>
            </w:r>
          </w:p>
        </w:tc>
        <w:tc>
          <w:tcPr>
            <w:tcW w:w="0" w:type="dxa"/>
            <w:vAlign w:val="bottom"/>
          </w:tcPr>
          <w:p>
            <w:pPr>
              <w:spacing w:after="0"/>
              <w:rPr>
                <w:sz w:val="1"/>
                <w:szCs w:val="1"/>
                <w:color w:val="auto"/>
              </w:rPr>
            </w:pPr>
          </w:p>
        </w:tc>
      </w:tr>
      <w:tr>
        <w:trPr>
          <w:trHeight w:val="128"/>
        </w:trPr>
        <w:tc>
          <w:tcPr>
            <w:tcW w:w="19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340" w:type="dxa"/>
            <w:vAlign w:val="bottom"/>
            <w:vMerge w:val="continue"/>
            <w:shd w:val="clear" w:color="auto" w:fill="CFF0FC"/>
          </w:tcPr>
          <w:p>
            <w:pPr>
              <w:spacing w:after="0"/>
              <w:rPr>
                <w:sz w:val="11"/>
                <w:szCs w:val="11"/>
                <w:color w:val="auto"/>
              </w:rPr>
            </w:pPr>
          </w:p>
        </w:tc>
        <w:tc>
          <w:tcPr>
            <w:tcW w:w="1100" w:type="dxa"/>
            <w:vAlign w:val="bottom"/>
            <w:vMerge w:val="continue"/>
            <w:shd w:val="clear" w:color="auto" w:fill="CFF0FC"/>
          </w:tcPr>
          <w:p>
            <w:pPr>
              <w:spacing w:after="0"/>
              <w:rPr>
                <w:sz w:val="11"/>
                <w:szCs w:val="11"/>
                <w:color w:val="auto"/>
              </w:rPr>
            </w:pPr>
          </w:p>
        </w:tc>
        <w:tc>
          <w:tcPr>
            <w:tcW w:w="1500" w:type="dxa"/>
            <w:vAlign w:val="bottom"/>
            <w:vMerge w:val="continue"/>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148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360" w:type="dxa"/>
            <w:vAlign w:val="bottom"/>
            <w:vMerge w:val="continue"/>
            <w:shd w:val="clear" w:color="auto" w:fill="CFF0FC"/>
          </w:tcPr>
          <w:p>
            <w:pPr>
              <w:spacing w:after="0"/>
              <w:rPr>
                <w:sz w:val="11"/>
                <w:szCs w:val="11"/>
                <w:color w:val="auto"/>
              </w:rPr>
            </w:pPr>
          </w:p>
        </w:tc>
        <w:tc>
          <w:tcPr>
            <w:tcW w:w="138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80" w:type="dxa"/>
            <w:vAlign w:val="bottom"/>
            <w:vMerge w:val="continue"/>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50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9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James Miln</w:t>
            </w:r>
          </w:p>
        </w:tc>
        <w:tc>
          <w:tcPr>
            <w:tcW w:w="134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Adopted</w:t>
            </w:r>
          </w:p>
        </w:tc>
        <w:tc>
          <w:tcPr>
            <w:tcW w:w="110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8/7/2026</w:t>
            </w:r>
          </w:p>
        </w:tc>
        <w:tc>
          <w:tcPr>
            <w:tcW w:w="1500" w:type="dxa"/>
            <w:vAlign w:val="bottom"/>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1"/>
              </w:rPr>
              <w:t>X</w:t>
            </w:r>
          </w:p>
        </w:tc>
        <w:tc>
          <w:tcPr>
            <w:tcW w:w="10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7"/>
                <w:szCs w:val="17"/>
                <w:color w:val="auto"/>
              </w:rPr>
            </w:pPr>
          </w:p>
        </w:tc>
        <w:tc>
          <w:tcPr>
            <w:tcW w:w="1360" w:type="dxa"/>
            <w:vAlign w:val="bottom"/>
            <w:vMerge w:val="restart"/>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12/31/2027</w:t>
            </w:r>
          </w:p>
        </w:tc>
        <w:tc>
          <w:tcPr>
            <w:tcW w:w="0" w:type="dxa"/>
            <w:vAlign w:val="bottom"/>
          </w:tcPr>
          <w:p>
            <w:pPr>
              <w:spacing w:after="0"/>
              <w:rPr>
                <w:sz w:val="1"/>
                <w:szCs w:val="1"/>
                <w:color w:val="auto"/>
              </w:rPr>
            </w:pPr>
          </w:p>
        </w:tc>
      </w:tr>
      <w:tr>
        <w:trPr>
          <w:trHeight w:val="128"/>
        </w:trPr>
        <w:tc>
          <w:tcPr>
            <w:tcW w:w="19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34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5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8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98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auto"/>
              </w:rPr>
              <w:t>Fabio Rosati</w:t>
            </w:r>
          </w:p>
        </w:tc>
        <w:tc>
          <w:tcPr>
            <w:tcW w:w="1340" w:type="dxa"/>
            <w:vAlign w:val="bottom"/>
            <w:vMerge w:val="restart"/>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Adopted</w:t>
            </w:r>
          </w:p>
        </w:tc>
        <w:tc>
          <w:tcPr>
            <w:tcW w:w="1100" w:type="dxa"/>
            <w:vAlign w:val="bottom"/>
            <w:vMerge w:val="restart"/>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8"/>
              </w:rPr>
              <w:t>8/10/2026</w:t>
            </w:r>
          </w:p>
        </w:tc>
        <w:tc>
          <w:tcPr>
            <w:tcW w:w="1500" w:type="dxa"/>
            <w:vAlign w:val="bottom"/>
            <w:vMerge w:val="restart"/>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1"/>
              </w:rPr>
              <w:t>X</w:t>
            </w:r>
          </w:p>
        </w:tc>
        <w:tc>
          <w:tcPr>
            <w:tcW w:w="1000" w:type="dxa"/>
            <w:vAlign w:val="bottom"/>
            <w:vMerge w:val="restart"/>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21,600</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360" w:type="dxa"/>
            <w:vAlign w:val="bottom"/>
            <w:vMerge w:val="restart"/>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vMerge w:val="restart"/>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10/5/2027</w:t>
            </w:r>
          </w:p>
        </w:tc>
        <w:tc>
          <w:tcPr>
            <w:tcW w:w="0" w:type="dxa"/>
            <w:vAlign w:val="bottom"/>
          </w:tcPr>
          <w:p>
            <w:pPr>
              <w:spacing w:after="0"/>
              <w:rPr>
                <w:sz w:val="1"/>
                <w:szCs w:val="1"/>
                <w:color w:val="auto"/>
              </w:rPr>
            </w:pPr>
          </w:p>
        </w:tc>
      </w:tr>
      <w:tr>
        <w:trPr>
          <w:trHeight w:val="128"/>
        </w:trPr>
        <w:tc>
          <w:tcPr>
            <w:tcW w:w="19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340" w:type="dxa"/>
            <w:vAlign w:val="bottom"/>
            <w:vMerge w:val="continue"/>
            <w:shd w:val="clear" w:color="auto" w:fill="CFF0FC"/>
          </w:tcPr>
          <w:p>
            <w:pPr>
              <w:spacing w:after="0"/>
              <w:rPr>
                <w:sz w:val="11"/>
                <w:szCs w:val="11"/>
                <w:color w:val="auto"/>
              </w:rPr>
            </w:pPr>
          </w:p>
        </w:tc>
        <w:tc>
          <w:tcPr>
            <w:tcW w:w="1100" w:type="dxa"/>
            <w:vAlign w:val="bottom"/>
            <w:vMerge w:val="continue"/>
            <w:shd w:val="clear" w:color="auto" w:fill="CFF0FC"/>
          </w:tcPr>
          <w:p>
            <w:pPr>
              <w:spacing w:after="0"/>
              <w:rPr>
                <w:sz w:val="11"/>
                <w:szCs w:val="11"/>
                <w:color w:val="auto"/>
              </w:rPr>
            </w:pPr>
          </w:p>
        </w:tc>
        <w:tc>
          <w:tcPr>
            <w:tcW w:w="1500" w:type="dxa"/>
            <w:vAlign w:val="bottom"/>
            <w:vMerge w:val="continue"/>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148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360" w:type="dxa"/>
            <w:vAlign w:val="bottom"/>
            <w:vMerge w:val="continue"/>
            <w:shd w:val="clear" w:color="auto" w:fill="CFF0FC"/>
          </w:tcPr>
          <w:p>
            <w:pPr>
              <w:spacing w:after="0"/>
              <w:rPr>
                <w:sz w:val="11"/>
                <w:szCs w:val="11"/>
                <w:color w:val="auto"/>
              </w:rPr>
            </w:pPr>
          </w:p>
        </w:tc>
        <w:tc>
          <w:tcPr>
            <w:tcW w:w="138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80" w:type="dxa"/>
            <w:vAlign w:val="bottom"/>
            <w:vMerge w:val="continue"/>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50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9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Subir Dutt</w:t>
            </w:r>
          </w:p>
        </w:tc>
        <w:tc>
          <w:tcPr>
            <w:tcW w:w="13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Terminated(2)</w:t>
            </w:r>
          </w:p>
        </w:tc>
        <w:tc>
          <w:tcPr>
            <w:tcW w:w="110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8"/>
              </w:rPr>
              <w:t>8/28/2026</w:t>
            </w:r>
          </w:p>
        </w:tc>
        <w:tc>
          <w:tcPr>
            <w:tcW w:w="1500" w:type="dxa"/>
            <w:vAlign w:val="bottom"/>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1"/>
              </w:rPr>
              <w:t>X</w:t>
            </w:r>
          </w:p>
        </w:tc>
        <w:tc>
          <w:tcPr>
            <w:tcW w:w="10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7"/>
                <w:szCs w:val="17"/>
                <w:color w:val="auto"/>
              </w:rPr>
            </w:pPr>
          </w:p>
        </w:tc>
        <w:tc>
          <w:tcPr>
            <w:tcW w:w="1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360" w:type="dxa"/>
            <w:vAlign w:val="bottom"/>
            <w:vMerge w:val="restart"/>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7/1/2027</w:t>
            </w:r>
          </w:p>
        </w:tc>
        <w:tc>
          <w:tcPr>
            <w:tcW w:w="0" w:type="dxa"/>
            <w:vAlign w:val="bottom"/>
          </w:tcPr>
          <w:p>
            <w:pPr>
              <w:spacing w:after="0"/>
              <w:rPr>
                <w:sz w:val="1"/>
                <w:szCs w:val="1"/>
                <w:color w:val="auto"/>
              </w:rPr>
            </w:pPr>
          </w:p>
        </w:tc>
      </w:tr>
      <w:tr>
        <w:trPr>
          <w:trHeight w:val="128"/>
        </w:trPr>
        <w:tc>
          <w:tcPr>
            <w:tcW w:w="19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Chief Sales Officer</w:t>
            </w:r>
          </w:p>
        </w:tc>
        <w:tc>
          <w:tcPr>
            <w:tcW w:w="134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8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98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auto"/>
              </w:rPr>
              <w:t>Subir Dutt</w:t>
            </w:r>
          </w:p>
        </w:tc>
        <w:tc>
          <w:tcPr>
            <w:tcW w:w="1340" w:type="dxa"/>
            <w:vAlign w:val="bottom"/>
            <w:vMerge w:val="restart"/>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Adopted(2)</w:t>
            </w:r>
          </w:p>
        </w:tc>
        <w:tc>
          <w:tcPr>
            <w:tcW w:w="1100" w:type="dxa"/>
            <w:vAlign w:val="bottom"/>
            <w:vMerge w:val="restart"/>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8"/>
              </w:rPr>
              <w:t>8/28/2026</w:t>
            </w:r>
          </w:p>
        </w:tc>
        <w:tc>
          <w:tcPr>
            <w:tcW w:w="1500" w:type="dxa"/>
            <w:vAlign w:val="bottom"/>
            <w:vMerge w:val="restart"/>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1"/>
              </w:rPr>
              <w:t>X</w:t>
            </w:r>
          </w:p>
        </w:tc>
        <w:tc>
          <w:tcPr>
            <w:tcW w:w="1000" w:type="dxa"/>
            <w:vAlign w:val="bottom"/>
            <w:vMerge w:val="restart"/>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360" w:type="dxa"/>
            <w:vAlign w:val="bottom"/>
            <w:vMerge w:val="restart"/>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11/15/2028</w:t>
            </w:r>
          </w:p>
        </w:tc>
        <w:tc>
          <w:tcPr>
            <w:tcW w:w="0" w:type="dxa"/>
            <w:vAlign w:val="bottom"/>
          </w:tcPr>
          <w:p>
            <w:pPr>
              <w:spacing w:after="0"/>
              <w:rPr>
                <w:sz w:val="1"/>
                <w:szCs w:val="1"/>
                <w:color w:val="auto"/>
              </w:rPr>
            </w:pPr>
          </w:p>
        </w:tc>
      </w:tr>
      <w:tr>
        <w:trPr>
          <w:trHeight w:val="128"/>
        </w:trPr>
        <w:tc>
          <w:tcPr>
            <w:tcW w:w="19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Chief Sales Officer</w:t>
            </w:r>
          </w:p>
        </w:tc>
        <w:tc>
          <w:tcPr>
            <w:tcW w:w="1340" w:type="dxa"/>
            <w:vAlign w:val="bottom"/>
            <w:vMerge w:val="continue"/>
            <w:shd w:val="clear" w:color="auto" w:fill="CFF0FC"/>
          </w:tcPr>
          <w:p>
            <w:pPr>
              <w:spacing w:after="0"/>
              <w:rPr>
                <w:sz w:val="11"/>
                <w:szCs w:val="11"/>
                <w:color w:val="auto"/>
              </w:rPr>
            </w:pPr>
          </w:p>
        </w:tc>
        <w:tc>
          <w:tcPr>
            <w:tcW w:w="1100" w:type="dxa"/>
            <w:vAlign w:val="bottom"/>
            <w:vMerge w:val="continue"/>
            <w:shd w:val="clear" w:color="auto" w:fill="CFF0FC"/>
          </w:tcPr>
          <w:p>
            <w:pPr>
              <w:spacing w:after="0"/>
              <w:rPr>
                <w:sz w:val="11"/>
                <w:szCs w:val="11"/>
                <w:color w:val="auto"/>
              </w:rPr>
            </w:pPr>
          </w:p>
        </w:tc>
        <w:tc>
          <w:tcPr>
            <w:tcW w:w="1500" w:type="dxa"/>
            <w:vAlign w:val="bottom"/>
            <w:vMerge w:val="continue"/>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148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360" w:type="dxa"/>
            <w:vAlign w:val="bottom"/>
            <w:vMerge w:val="continue"/>
            <w:shd w:val="clear" w:color="auto" w:fill="CFF0FC"/>
          </w:tcPr>
          <w:p>
            <w:pPr>
              <w:spacing w:after="0"/>
              <w:rPr>
                <w:sz w:val="11"/>
                <w:szCs w:val="11"/>
                <w:color w:val="auto"/>
              </w:rPr>
            </w:pPr>
          </w:p>
        </w:tc>
        <w:tc>
          <w:tcPr>
            <w:tcW w:w="138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80" w:type="dxa"/>
            <w:vAlign w:val="bottom"/>
            <w:vMerge w:val="continue"/>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50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9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Subir Dutt</w:t>
            </w:r>
          </w:p>
        </w:tc>
        <w:tc>
          <w:tcPr>
            <w:tcW w:w="134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Adopted</w:t>
            </w:r>
          </w:p>
        </w:tc>
        <w:tc>
          <w:tcPr>
            <w:tcW w:w="110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8"/>
              </w:rPr>
              <w:t>8/28/2026</w:t>
            </w:r>
          </w:p>
        </w:tc>
        <w:tc>
          <w:tcPr>
            <w:tcW w:w="1500" w:type="dxa"/>
            <w:vAlign w:val="bottom"/>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1"/>
              </w:rPr>
              <w:t>X</w:t>
            </w:r>
          </w:p>
        </w:tc>
        <w:tc>
          <w:tcPr>
            <w:tcW w:w="10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7"/>
                <w:szCs w:val="17"/>
                <w:color w:val="auto"/>
              </w:rPr>
            </w:pPr>
          </w:p>
        </w:tc>
        <w:tc>
          <w:tcPr>
            <w:tcW w:w="1360" w:type="dxa"/>
            <w:vAlign w:val="bottom"/>
            <w:vMerge w:val="restart"/>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8"/>
              </w:rPr>
              <w:t>8/15/2028</w:t>
            </w:r>
          </w:p>
        </w:tc>
        <w:tc>
          <w:tcPr>
            <w:tcW w:w="0" w:type="dxa"/>
            <w:vAlign w:val="bottom"/>
          </w:tcPr>
          <w:p>
            <w:pPr>
              <w:spacing w:after="0"/>
              <w:rPr>
                <w:sz w:val="1"/>
                <w:szCs w:val="1"/>
                <w:color w:val="auto"/>
              </w:rPr>
            </w:pPr>
          </w:p>
        </w:tc>
      </w:tr>
      <w:tr>
        <w:trPr>
          <w:trHeight w:val="128"/>
        </w:trPr>
        <w:tc>
          <w:tcPr>
            <w:tcW w:w="19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Chief Sales Officer</w:t>
            </w:r>
          </w:p>
        </w:tc>
        <w:tc>
          <w:tcPr>
            <w:tcW w:w="134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5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8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460" w:firstLine="8"/>
        <w:spacing w:after="0" w:line="269" w:lineRule="auto"/>
        <w:tabs>
          <w:tab w:leader="none" w:pos="12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 instruction or written plan intended to satisfy the affirmative defense conditions of Rule 10b5-1(c) under the Exchange Act. ** “Non-Rule 10b5-1 trading arrangement” as defined in Item 408(c) of Regulation S-K under the Exchange Act.</w:t>
      </w:r>
    </w:p>
    <w:p>
      <w:pPr>
        <w:ind w:right="440"/>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Represents modification, as described in Rule 10b5-1(c)(1)(iv) under the Exchange Act, of a written plan adopted on May 19, 2025 that was intended to satisfy the affirmative defense conditions of Rule 10b5-1(c) under the Exchange Act.</w:t>
      </w:r>
    </w:p>
    <w:p>
      <w:pPr>
        <w:ind w:right="260"/>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Represents modification, as described in Rule 10b5-1(c)(1)(iv) under the Exchange Act, of a written plan adopted on August 18, 2025 that was intended to satisfy the affirmative defense conditions of Rule 10b5-1(c) under the Exchange Act.</w:t>
      </w:r>
    </w:p>
    <w:p>
      <w:pPr>
        <w:ind w:right="140"/>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 Rule 10b5-1 trading plan provides for “eligible sell-to-cover transactions” (as described in Rule 10b5-1(c)(1)(ii)(D)(3) under the Exchange Act) to satisfy tax withholding obligations arising exclusively from vesting of restricted stock units (“RSUs”) and performance-based RSUs (“PSUs”). The number of shares of our common stock subject to covered RSUs to be sold to satisfy applicable tax withholding obligations upon vesting is 21,468. The maximum number of covered PSUs that may vest is 49,578. The ultimate number of shares to vest pursuant to such awards will be based on our achievement of applicable performance goals, as determined by our board of directors. Upon vesting, the plan provides for the sale of 55% of the shares of our common stock received in settlement of such PSUs to satisfy applicable tax withholding obligations. The maximum number of shares of our common stock that may be sold to satisfy such tax withholding obligations is 27,268.</w:t>
      </w:r>
    </w:p>
    <w:p>
      <w:pPr>
        <w:ind w:right="4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 Rule 10b5-1 trading plan provides for “eligible sell-to-cover transactions” (as described in Rule 10b5-1(c)(1)(ii)(D)(3) under the Exchange Act) to satisfy tax withholding obligations arising exclusively from vesting of RSUs and PSUs. The number of shares of our common stock subject to covered RSUs to be sold to satisfy applicable tax withholding obligations upon vesting is 15,626. The maximum number of covered PSUs that may vest is 65,370. The ultimate number of shares to vest pursuant to such awards will be based on our achievement of applicable performance goals, as determined by our board of directors. Upon vesting, the plan provides for the sale of 40% of the shares of our common stock received in settlement of such PSUs to satisfy applicable tax withholding obligations. The maximum number of shares of our common stock that may be sold to satisfy such tax withholding obligations is 26,148.</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The documents listed in the Exhibit Index of this Quarterly Report on Form 10-Q are herein incorporated by reference or are filed with this Quarterly Report on Form 10-Q, in each case as indicated therein (numbered in accordance with Item 601 of Regulation S-K).</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180" w:type="dxa"/>
            <w:vAlign w:val="bottom"/>
            <w:gridSpan w:val="18"/>
            <w:vMerge w:val="restart"/>
          </w:tcPr>
          <w:p>
            <w:pPr>
              <w:ind w:left="37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9180" w:type="dxa"/>
            <w:vAlign w:val="bottom"/>
            <w:tcBorders>
              <w:bottom w:val="single" w:sz="8" w:color="auto"/>
            </w:tcBorders>
            <w:gridSpan w:val="1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98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459">
              <w:r>
                <w:rPr>
                  <w:rFonts w:ascii="Times New Roman" w:cs="Times New Roman" w:eastAsia="Times New Roman" w:hAnsi="Times New Roman"/>
                  <w:sz w:val="18"/>
                  <w:szCs w:val="18"/>
                  <w:color w:val="0000FF"/>
                </w:rPr>
                <w:t>Amended and Restated Certificate of Incorporation of Xometry, Inc., (incorporated herein by reference to Exhibit 3.1 to the Company’s</w:t>
              </w:r>
            </w:hyperlink>
          </w:p>
        </w:tc>
        <w:tc>
          <w:tcPr>
            <w:tcW w:w="2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459">
              <w:r>
                <w:rPr>
                  <w:rFonts w:ascii="Times New Roman" w:cs="Times New Roman" w:eastAsia="Times New Roman" w:hAnsi="Times New Roman"/>
                  <w:sz w:val="18"/>
                  <w:szCs w:val="18"/>
                  <w:color w:val="0000FF"/>
                  <w:w w:val="99"/>
                </w:rPr>
                <w:t>Current Report on Form 8-K (File No. 001-40546), filed with the SEC on July 2, 2021).</w:t>
              </w:r>
            </w:hyperlink>
          </w:p>
        </w:tc>
        <w:tc>
          <w:tcPr>
            <w:tcW w:w="20" w:type="dxa"/>
            <w:vAlign w:val="bottom"/>
            <w:tcBorders>
              <w:bottom w:val="single" w:sz="8" w:color="0000EE"/>
            </w:tcBorders>
          </w:tcPr>
          <w:p>
            <w:pPr>
              <w:spacing w:after="0"/>
              <w:rPr>
                <w:sz w:val="17"/>
                <w:szCs w:val="17"/>
                <w:color w:val="auto"/>
              </w:rPr>
            </w:pPr>
          </w:p>
        </w:tc>
        <w:tc>
          <w:tcPr>
            <w:tcW w:w="37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7"/>
                <w:szCs w:val="17"/>
                <w:color w:val="auto"/>
              </w:rPr>
            </w:pPr>
          </w:p>
        </w:tc>
        <w:tc>
          <w:tcPr>
            <w:tcW w:w="97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460">
              <w:r>
                <w:rPr>
                  <w:rFonts w:ascii="Times New Roman" w:cs="Times New Roman" w:eastAsia="Times New Roman" w:hAnsi="Times New Roman"/>
                  <w:sz w:val="18"/>
                  <w:szCs w:val="18"/>
                  <w:color w:val="0000FF"/>
                </w:rPr>
                <w:t>Amended and Restated Bylaws of Xometry, Inc., (incorporated herein by reference to Exhibit 3.2 to the Company’s Current Report on</w:t>
              </w:r>
            </w:hyperlink>
          </w:p>
        </w:tc>
        <w:tc>
          <w:tcPr>
            <w:tcW w:w="3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460">
              <w:r>
                <w:rPr>
                  <w:rFonts w:ascii="Times New Roman" w:cs="Times New Roman" w:eastAsia="Times New Roman" w:hAnsi="Times New Roman"/>
                  <w:sz w:val="18"/>
                  <w:szCs w:val="18"/>
                  <w:color w:val="0000FF"/>
                  <w:w w:val="99"/>
                </w:rPr>
                <w:t>Form 8-K (File No. 001-40546), filed with the SEC on July 2, 2021).</w:t>
              </w:r>
            </w:hyperlink>
          </w:p>
        </w:tc>
        <w:tc>
          <w:tcPr>
            <w:tcW w:w="20" w:type="dxa"/>
            <w:vAlign w:val="bottom"/>
            <w:tcBorders>
              <w:bottom w:val="single" w:sz="8" w:color="0000EE"/>
            </w:tcBorders>
          </w:tcPr>
          <w:p>
            <w:pPr>
              <w:spacing w:after="0"/>
              <w:rPr>
                <w:sz w:val="17"/>
                <w:szCs w:val="17"/>
                <w:color w:val="auto"/>
              </w:rPr>
            </w:pPr>
          </w:p>
        </w:tc>
        <w:tc>
          <w:tcPr>
            <w:tcW w:w="51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7"/>
                <w:szCs w:val="17"/>
                <w:color w:val="auto"/>
              </w:rPr>
            </w:pPr>
          </w:p>
        </w:tc>
        <w:tc>
          <w:tcPr>
            <w:tcW w:w="100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461">
              <w:r>
                <w:rPr>
                  <w:rFonts w:ascii="Times New Roman" w:cs="Times New Roman" w:eastAsia="Times New Roman" w:hAnsi="Times New Roman"/>
                  <w:sz w:val="18"/>
                  <w:szCs w:val="18"/>
                  <w:color w:val="0000FF"/>
                </w:rPr>
                <w:t>Second Amendment to Employment Agreement by and between Xometry, Inc. and Randolph Altschuler (incorporated herein by reference</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461">
              <w:r>
                <w:rPr>
                  <w:rFonts w:ascii="Times New Roman" w:cs="Times New Roman" w:eastAsia="Times New Roman" w:hAnsi="Times New Roman"/>
                  <w:sz w:val="18"/>
                  <w:szCs w:val="18"/>
                  <w:color w:val="0000FF"/>
                  <w:w w:val="99"/>
                </w:rPr>
                <w:t>to Exhibit 10.1 to the Company's Quarterly Report on Form 10-Q (File No. 001-40546), filed with the SEC on August 4, 2026).</w:t>
              </w:r>
            </w:hyperlink>
          </w:p>
        </w:tc>
        <w:tc>
          <w:tcPr>
            <w:tcW w:w="20" w:type="dxa"/>
            <w:vAlign w:val="bottom"/>
            <w:tcBorders>
              <w:bottom w:val="single" w:sz="8" w:color="0000EE"/>
            </w:tcBorders>
          </w:tcPr>
          <w:p>
            <w:pPr>
              <w:spacing w:after="0"/>
              <w:rPr>
                <w:sz w:val="17"/>
                <w:szCs w:val="17"/>
                <w:color w:val="auto"/>
              </w:rPr>
            </w:pPr>
          </w:p>
        </w:tc>
        <w:tc>
          <w:tcPr>
            <w:tcW w:w="8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7"/>
                <w:szCs w:val="17"/>
                <w:color w:val="auto"/>
              </w:rPr>
            </w:pPr>
          </w:p>
        </w:tc>
        <w:tc>
          <w:tcPr>
            <w:tcW w:w="96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462">
              <w:r>
                <w:rPr>
                  <w:rFonts w:ascii="Times New Roman" w:cs="Times New Roman" w:eastAsia="Times New Roman" w:hAnsi="Times New Roman"/>
                  <w:sz w:val="18"/>
                  <w:szCs w:val="18"/>
                  <w:color w:val="0000FF"/>
                </w:rPr>
                <w:t>Amendment to Employment Agreement by and between Xometry, Inc. and Sanjeev Singh Sahni (incorporated herein by reference to</w:t>
              </w:r>
            </w:hyperlink>
          </w:p>
        </w:tc>
        <w:tc>
          <w:tcPr>
            <w:tcW w:w="4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462">
              <w:r>
                <w:rPr>
                  <w:rFonts w:ascii="Times New Roman" w:cs="Times New Roman" w:eastAsia="Times New Roman" w:hAnsi="Times New Roman"/>
                  <w:sz w:val="18"/>
                  <w:szCs w:val="18"/>
                  <w:color w:val="0000FF"/>
                  <w:w w:val="99"/>
                </w:rPr>
                <w:t>Exhibit 10.2 to the Company's Quarterly Report on Form 10-Q (File No. 001-40546), filed with SEC on August 4, 2026).</w:t>
              </w:r>
            </w:hyperlink>
          </w:p>
        </w:tc>
        <w:tc>
          <w:tcPr>
            <w:tcW w:w="20" w:type="dxa"/>
            <w:vAlign w:val="bottom"/>
            <w:tcBorders>
              <w:bottom w:val="single" w:sz="8" w:color="0000EE"/>
            </w:tcBorders>
          </w:tcPr>
          <w:p>
            <w:pPr>
              <w:spacing w:after="0"/>
              <w:rPr>
                <w:sz w:val="17"/>
                <w:szCs w:val="17"/>
                <w:color w:val="auto"/>
              </w:rPr>
            </w:pPr>
          </w:p>
        </w:tc>
        <w:tc>
          <w:tcPr>
            <w:tcW w:w="13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17"/>
                <w:szCs w:val="17"/>
                <w:color w:val="auto"/>
              </w:rPr>
            </w:pPr>
          </w:p>
        </w:tc>
        <w:tc>
          <w:tcPr>
            <w:tcW w:w="966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4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0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7"/>
                <w:szCs w:val="17"/>
                <w:color w:val="auto"/>
              </w:rPr>
            </w:pPr>
          </w:p>
        </w:tc>
        <w:tc>
          <w:tcPr>
            <w:tcW w:w="962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4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0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7"/>
                <w:szCs w:val="17"/>
                <w:color w:val="auto"/>
              </w:rPr>
            </w:pPr>
          </w:p>
        </w:tc>
        <w:tc>
          <w:tcPr>
            <w:tcW w:w="1008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1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17"/>
                <w:szCs w:val="17"/>
                <w:color w:val="auto"/>
              </w:rPr>
            </w:pPr>
          </w:p>
        </w:tc>
        <w:tc>
          <w:tcPr>
            <w:tcW w:w="1004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8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18"/>
                <w:szCs w:val="18"/>
                <w:color w:val="auto"/>
              </w:rPr>
            </w:pPr>
          </w:p>
        </w:tc>
        <w:tc>
          <w:tcPr>
            <w:tcW w:w="101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1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18"/>
                <w:szCs w:val="18"/>
                <w:color w:val="auto"/>
              </w:rPr>
            </w:pPr>
          </w:p>
        </w:tc>
        <w:tc>
          <w:tcPr>
            <w:tcW w:w="101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0"/>
                <w:szCs w:val="20"/>
                <w:color w:val="auto"/>
              </w:rPr>
            </w:pPr>
          </w:p>
        </w:tc>
        <w:tc>
          <w:tcPr>
            <w:tcW w:w="101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jc w:val="both"/>
        <w:ind w:firstLine="8"/>
        <w:spacing w:after="0" w:line="250" w:lineRule="auto"/>
        <w:tabs>
          <w:tab w:leader="none" w:pos="25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contract or arrangement.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7" w:lineRule="exact"/>
        <w:rPr>
          <w:sz w:val="20"/>
          <w:szCs w:val="20"/>
          <w:color w:val="auto"/>
        </w:rPr>
      </w:pPr>
    </w:p>
    <w:p>
      <w:pPr>
        <w:ind w:right="16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338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XOMETRY, INC.</w:t>
            </w:r>
          </w:p>
        </w:tc>
        <w:tc>
          <w:tcPr>
            <w:tcW w:w="4120" w:type="dxa"/>
            <w:vAlign w:val="bottom"/>
          </w:tcPr>
          <w:p>
            <w:pPr>
              <w:spacing w:after="0"/>
              <w:rPr>
                <w:sz w:val="20"/>
                <w:szCs w:val="20"/>
                <w:color w:val="auto"/>
              </w:rPr>
            </w:pP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2026</w:t>
            </w:r>
          </w:p>
        </w:tc>
        <w:tc>
          <w:tcPr>
            <w:tcW w:w="338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/s/ Sanjeev Singh Sahni</w:t>
            </w:r>
          </w:p>
        </w:tc>
      </w:tr>
      <w:tr>
        <w:trPr>
          <w:trHeight w:val="187"/>
        </w:trPr>
        <w:tc>
          <w:tcPr>
            <w:tcW w:w="37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4120" w:type="dxa"/>
            <w:vAlign w:val="bottom"/>
            <w:tcBorders>
              <w:top w:val="single" w:sz="8" w:color="auto"/>
            </w:tcBorders>
          </w:tcPr>
          <w:p>
            <w:pPr>
              <w:jc w:val="center"/>
              <w:ind w:right="1010"/>
              <w:spacing w:after="0" w:line="188" w:lineRule="exact"/>
              <w:rPr>
                <w:sz w:val="20"/>
                <w:szCs w:val="20"/>
                <w:color w:val="auto"/>
              </w:rPr>
            </w:pPr>
            <w:r>
              <w:rPr>
                <w:rFonts w:ascii="Times New Roman" w:cs="Times New Roman" w:eastAsia="Times New Roman" w:hAnsi="Times New Roman"/>
                <w:sz w:val="18"/>
                <w:szCs w:val="18"/>
                <w:b w:val="1"/>
                <w:bCs w:val="1"/>
                <w:color w:val="auto"/>
              </w:rPr>
              <w:t>Sanjeev Singh Sahni</w:t>
            </w:r>
          </w:p>
        </w:tc>
      </w:tr>
      <w:tr>
        <w:trPr>
          <w:trHeight w:val="216"/>
        </w:trPr>
        <w:tc>
          <w:tcPr>
            <w:tcW w:w="3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12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tc>
      </w:tr>
      <w:tr>
        <w:trPr>
          <w:trHeight w:val="238"/>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12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2026</w:t>
            </w:r>
          </w:p>
        </w:tc>
        <w:tc>
          <w:tcPr>
            <w:tcW w:w="338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rPr>
              <w:t>/s/ James Miln</w:t>
            </w:r>
          </w:p>
        </w:tc>
      </w:tr>
      <w:tr>
        <w:trPr>
          <w:trHeight w:val="211"/>
        </w:trPr>
        <w:tc>
          <w:tcPr>
            <w:tcW w:w="3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120" w:type="dxa"/>
            <w:vAlign w:val="bottom"/>
            <w:tcBorders>
              <w:top w:val="single" w:sz="8" w:color="auto"/>
            </w:tcBorders>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rPr>
              <w:t>James Miln</w:t>
            </w:r>
          </w:p>
        </w:tc>
      </w:tr>
    </w:tbl>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Sanjeev Singh Sahni, certify that:</w:t>
      </w:r>
    </w:p>
    <w:p>
      <w:pPr>
        <w:spacing w:after="0" w:line="225"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Xometry,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November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Sanjeev Singh Sahni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7">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Sanjeev Singh Sahni</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Miln, certify that:</w:t>
      </w:r>
    </w:p>
    <w:p>
      <w:pPr>
        <w:spacing w:after="0" w:line="225"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Xometry,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 w:leader="none" w:pos="8080" w:val="left"/>
        </w:tabs>
        <w:rPr>
          <w:sz w:val="20"/>
          <w:szCs w:val="20"/>
          <w:color w:val="auto"/>
        </w:rPr>
      </w:pPr>
      <w:r>
        <w:rPr>
          <w:rFonts w:ascii="Times New Roman" w:cs="Times New Roman" w:eastAsia="Times New Roman" w:hAnsi="Times New Roman"/>
          <w:sz w:val="18"/>
          <w:szCs w:val="18"/>
          <w:color w:val="auto"/>
        </w:rPr>
        <w:t>Date: November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Miln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9">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James Miln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Xometry, Inc. (the “Company”) on Form 10-Q for the period ended September 30,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00" w:hanging="359"/>
        <w:spacing w:after="0"/>
        <w:tabs>
          <w:tab w:leader="none" w:pos="9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00" w:right="1940" w:hanging="442"/>
        <w:spacing w:after="0" w:line="282" w:lineRule="auto"/>
        <w:tabs>
          <w:tab w:leader="none" w:pos="8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November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Sanjeev Singh Sahni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Sanjeev Singh Sahni</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Xometry, Inc. (the “Company”) on Form 10-Q for the period ended September 30,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00" w:hanging="359"/>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8080" w:val="left"/>
        </w:tabs>
        <w:rPr>
          <w:sz w:val="20"/>
          <w:szCs w:val="20"/>
          <w:color w:val="auto"/>
        </w:rPr>
      </w:pPr>
      <w:r>
        <w:rPr>
          <w:rFonts w:ascii="Times New Roman" w:cs="Times New Roman" w:eastAsia="Times New Roman" w:hAnsi="Times New Roman"/>
          <w:sz w:val="18"/>
          <w:szCs w:val="18"/>
          <w:color w:val="auto"/>
        </w:rPr>
        <w:t>Date: November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Miln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James Miln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7" w:name="page58"/>
    <w:bookmarkEnd w:id="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2"/>
    </w:lvl>
  </w:abstractNum>
  <w:abstractNum w:abstractNumId="5">
    <w:nsid w:val="257130A3"/>
    <w:multiLevelType w:val="hybridMultilevel"/>
    <w:lvl w:ilvl="0">
      <w:lvlJc w:val="left"/>
      <w:lvlText w:val="(%1)"/>
      <w:numFmt w:val="lowerLetter"/>
      <w:start w:val="11"/>
    </w:lvl>
  </w:abstractNum>
  <w:abstractNum w:abstractNumId="6">
    <w:nsid w:val="62BBD95A"/>
    <w:multiLevelType w:val="hybridMultilevel"/>
    <w:lvl w:ilvl="0">
      <w:lvlJc w:val="left"/>
      <w:lvlText w:val="(%1)"/>
      <w:numFmt w:val="lowerLetter"/>
      <w:start w:val="12"/>
    </w:lvl>
  </w:abstractNum>
  <w:abstractNum w:abstractNumId="7">
    <w:nsid w:val="436C6125"/>
    <w:multiLevelType w:val="hybridMultilevel"/>
    <w:lvl w:ilvl="0">
      <w:lvlJc w:val="left"/>
      <w:lvlText w:val="(%1)"/>
      <w:numFmt w:val="lowerLetter"/>
      <w:start w:val="13"/>
    </w:lvl>
  </w:abstractNum>
  <w:abstractNum w:abstractNumId="8">
    <w:nsid w:val="628C895D"/>
    <w:multiLevelType w:val="hybridMultilevel"/>
    <w:lvl w:ilvl="0">
      <w:lvlJc w:val="left"/>
      <w:lvlText w:val="(%1)"/>
      <w:numFmt w:val="lowerLetter"/>
      <w:start w:val="14"/>
    </w:lvl>
  </w:abstractNum>
  <w:abstractNum w:abstractNumId="9">
    <w:nsid w:val="333AB105"/>
    <w:multiLevelType w:val="hybridMultilevel"/>
    <w:lvl w:ilvl="0">
      <w:lvlJc w:val="left"/>
      <w:lvlText w:val="(%1)"/>
      <w:numFmt w:val="lowerLetter"/>
      <w:start w:val="15"/>
    </w:lvl>
  </w:abstractNum>
  <w:abstractNum w:abstractNumId="10">
    <w:nsid w:val="721DA317"/>
    <w:multiLevelType w:val="hybridMultilevel"/>
    <w:lvl w:ilvl="0">
      <w:lvlJc w:val="left"/>
      <w:lvlText w:val="(%1)"/>
      <w:numFmt w:val="lowerLetter"/>
      <w:start w:val="16"/>
    </w:lvl>
  </w:abstractNum>
  <w:abstractNum w:abstractNumId="11">
    <w:nsid w:val="2443A858"/>
    <w:multiLevelType w:val="hybridMultilevel"/>
    <w:lvl w:ilvl="0">
      <w:lvlJc w:val="left"/>
      <w:lvlText w:val="(%1)"/>
      <w:numFmt w:val="lowerLetter"/>
      <w:start w:val="17"/>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1)"/>
      <w:numFmt w:val="lowerLetter"/>
      <w:start w:val="18"/>
    </w:lvl>
  </w:abstractNum>
  <w:abstractNum w:abstractNumId="14">
    <w:nsid w:val="75A2A8D4"/>
    <w:multiLevelType w:val="hybridMultilevel"/>
    <w:lvl w:ilvl="0">
      <w:lvlJc w:val="left"/>
      <w:lvlText w:val="(%1)"/>
      <w:numFmt w:val="lowerLetter"/>
      <w:start w:val="19"/>
    </w:lvl>
  </w:abstractNum>
  <w:abstractNum w:abstractNumId="15">
    <w:nsid w:val="8EDBDAB"/>
    <w:multiLevelType w:val="hybridMultilevel"/>
    <w:lvl w:ilvl="0">
      <w:lvlJc w:val="left"/>
      <w:lvlText w:val="(%1)"/>
      <w:numFmt w:val="lowerLetter"/>
      <w:start w:val="20"/>
    </w:lvl>
  </w:abstractNum>
  <w:abstractNum w:abstractNumId="16">
    <w:nsid w:val="79838CB2"/>
    <w:multiLevelType w:val="hybridMultilevel"/>
    <w:lvl w:ilvl="0">
      <w:lvlJc w:val="left"/>
      <w:lvlText w:val="(%1)"/>
      <w:numFmt w:val="decimal"/>
      <w:start w:val="3"/>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1"/>
    </w:lvl>
  </w:abstractNum>
  <w:abstractNum w:abstractNumId="23">
    <w:nsid w:val="836C40E"/>
    <w:multiLevelType w:val="hybridMultilevel"/>
    <w:lvl w:ilvl="0">
      <w:lvlJc w:val="left"/>
      <w:lvlText w:val="(%1)"/>
      <w:numFmt w:val="decimal"/>
      <w:start w:val="12"/>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decimal"/>
      <w:start w:val="1"/>
    </w:lvl>
    <w:lvl w:ilvl="1">
      <w:lvlJc w:val="left"/>
      <w:lvlText w:val="(%2)"/>
      <w:numFmt w:val="lowerLetter"/>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decimal"/>
      <w:start w:val="1"/>
    </w:lvl>
  </w:abstractNum>
  <w:abstractNum w:abstractNumId="31">
    <w:nsid w:val="22221A70"/>
    <w:multiLevelType w:val="hybridMultilevel"/>
    <w:lvl w:ilvl="0">
      <w:lvlJc w:val="left"/>
      <w:lvlText w:val="(%1)"/>
      <w:numFmt w:val="decimal"/>
      <w:start w:val="2"/>
    </w:lvl>
    <w:lvl w:ilvl="1">
      <w:lvlJc w:val="left"/>
      <w:lvlText w:val="%2"/>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63" Type="http://schemas.openxmlformats.org/officeDocument/2006/relationships/image" Target="media/image452.png"/><Relationship Id="rId464" Type="http://schemas.openxmlformats.org/officeDocument/2006/relationships/image" Target="media/image453.png"/><Relationship Id="rId465" Type="http://schemas.openxmlformats.org/officeDocument/2006/relationships/image" Target="media/image454.png"/><Relationship Id="rId466" Type="http://schemas.openxmlformats.org/officeDocument/2006/relationships/image" Target="media/image455.png"/><Relationship Id="rId467" Type="http://schemas.openxmlformats.org/officeDocument/2006/relationships/image" Target="media/image456.png"/><Relationship Id="rId468" Type="http://schemas.openxmlformats.org/officeDocument/2006/relationships/image" Target="media/image457.png"/><Relationship Id="rId469" Type="http://schemas.openxmlformats.org/officeDocument/2006/relationships/image" Target="media/image458.png"/><Relationship Id="rId470" Type="http://schemas.openxmlformats.org/officeDocument/2006/relationships/image" Target="media/image459.png"/><Relationship Id="rId471" Type="http://schemas.openxmlformats.org/officeDocument/2006/relationships/image" Target="media/image460.png"/><Relationship Id="rId472" Type="http://schemas.openxmlformats.org/officeDocument/2006/relationships/image" Target="media/image461.png"/><Relationship Id="rId473" Type="http://schemas.openxmlformats.org/officeDocument/2006/relationships/image" Target="media/image462.png"/><Relationship Id="rId474" Type="http://schemas.openxmlformats.org/officeDocument/2006/relationships/image" Target="media/image463.png"/><Relationship Id="rId459" Type="http://schemas.openxmlformats.org/officeDocument/2006/relationships/hyperlink" Target="https://www.sec.gov/Archives/edgar/data/0001657573/000119312521207643/d184650dex31.htm" TargetMode="External"/><Relationship Id="rId460" Type="http://schemas.openxmlformats.org/officeDocument/2006/relationships/hyperlink" Target="https://www.sec.gov/Archives/edgar/data/0001657573/000119312521207643/d184650dex32.htm" TargetMode="External"/><Relationship Id="rId461" Type="http://schemas.openxmlformats.org/officeDocument/2006/relationships/hyperlink" Target="https://www.sec.gov/Archives/edgar/data/1657573/000119312526332776/xmtr-ex10_1.htm" TargetMode="External"/><Relationship Id="rId462" Type="http://schemas.openxmlformats.org/officeDocument/2006/relationships/hyperlink" Target="https://www.sec.gov/Archives/edgar/data/1657573/000119312526332776/xmtr-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2026-11-03T16:05:07Z</dcterms:created>
  <dcterms:modified xsi:type="dcterms:W3CDTF">2026-11-03T16:05:07Z</dcterms:modified>
</cp:coreProperties>
</file>